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4"/>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11.220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B41</w:t>
            </w:r>
            <w:r>
              <w:rPr>
                <w:rFonts w:ascii="黑体" w:hAnsi="黑体" w:eastAsia="黑体"/>
                <w:sz w:val="21"/>
                <w:szCs w:val="21"/>
              </w:rPr>
              <w:fldChar w:fldCharType="end"/>
            </w:r>
            <w:bookmarkEnd w:id="1"/>
          </w:p>
        </w:tc>
      </w:tr>
    </w:tbl>
    <w:tbl>
      <w:tblPr>
        <w:tblStyle w:val="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1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1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15"/>
        <w:framePr w:w="9639" w:h="6976" w:hRule="exact" w:hSpace="0" w:vSpace="0" w:wrap="around" w:hAnchor="page" w:y="6408"/>
        <w:jc w:val="center"/>
        <w:rPr>
          <w:rFonts w:ascii="黑体" w:hAnsi="黑体" w:eastAsia="黑体"/>
          <w:b w:val="0"/>
          <w:bCs w:val="0"/>
          <w:w w:val="100"/>
        </w:rPr>
      </w:pPr>
    </w:p>
    <w:p>
      <w:pPr>
        <w:pStyle w:val="19"/>
        <w:framePr w:h="6974" w:hRule="exact" w:wrap="around" w:x="1419" w:anchorLock="1"/>
        <w:rPr>
          <w:rFonts w:hint="eastAsia" w:eastAsia="黑体"/>
          <w:lang w:val="en-US" w:eastAsia="zh-CN"/>
        </w:rPr>
      </w:pPr>
      <w:r>
        <w:rPr>
          <w:rFonts w:hint="eastAsia"/>
          <w:lang w:val="en-US" w:eastAsia="zh-CN"/>
        </w:rPr>
        <w:t>肉羊无抗养殖技术规程</w:t>
      </w:r>
    </w:p>
    <w:p>
      <w:pPr>
        <w:framePr w:w="9639" w:h="6974" w:hRule="exact" w:wrap="around" w:vAnchor="page" w:hAnchor="page" w:x="1419" w:y="6408" w:anchorLock="1"/>
        <w:ind w:left="-1418"/>
      </w:pPr>
    </w:p>
    <w:p>
      <w:pPr>
        <w:pStyle w:val="2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non-resistant breeding of mutton sheep</w:t>
      </w:r>
      <w:bookmarkStart w:id="25" w:name="_GoBack"/>
      <w:bookmarkEnd w:id="25"/>
      <w:r>
        <w:rPr>
          <w:rFonts w:eastAsia="黑体"/>
          <w:szCs w:val="28"/>
        </w:rPr>
        <w:t>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20"/>
        <w:framePr w:w="9639" w:h="6974" w:hRule="exact" w:wrap="around" w:vAnchor="page" w:hAnchor="page" w:x="1419" w:y="6408" w:anchorLock="1"/>
        <w:textAlignment w:val="bottom"/>
        <w:rPr>
          <w:rFonts w:eastAsia="黑体"/>
          <w:szCs w:val="28"/>
        </w:rPr>
      </w:pPr>
    </w:p>
    <w:p>
      <w:pPr>
        <w:pStyle w:val="2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2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2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2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23"/>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2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19"/>
      <w:r>
        <w:rPr>
          <w:rFonts w:ascii="Times New Roman"/>
          <w:w w:val="100"/>
          <w:sz w:val="28"/>
        </w:rPr>
        <w:t>  </w:t>
      </w:r>
      <w:r>
        <w:rPr>
          <w:rStyle w:val="27"/>
          <w:rFonts w:hint="eastAsia" w:hAnsi="黑体"/>
          <w:position w:val="0"/>
        </w:rPr>
        <w:t>发</w:t>
      </w:r>
      <w:r>
        <w:rPr>
          <w:rStyle w:val="27"/>
          <w:rFonts w:hint="eastAsia" w:hAnsi="黑体"/>
          <w:spacing w:val="0"/>
          <w:position w:val="0"/>
        </w:rPr>
        <w:t>布</w:t>
      </w:r>
    </w:p>
    <w:p>
      <w:pPr>
        <w:rPr>
          <w:rFonts w:ascii="宋体" w:hAnsi="宋体"/>
          <w:sz w:val="28"/>
          <w:szCs w:val="28"/>
        </w:rPr>
        <w:sectPr>
          <w:headerReference r:id="rId5" w:type="first"/>
          <w:footerReference r:id="rId7" w:type="first"/>
          <w:headerReference r:id="rId3" w:type="default"/>
          <w:headerReference r:id="rId4" w:type="even"/>
          <w:footerReference r:id="rId6" w:type="even"/>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28"/>
        <w:spacing w:after="360"/>
        <w:rPr>
          <w:rFonts w:hint="eastAsia"/>
          <w:spacing w:val="320"/>
        </w:rPr>
        <w:sectPr>
          <w:headerReference r:id="rId8" w:type="default"/>
          <w:footerReference r:id="rId10" w:type="default"/>
          <w:headerReference r:id="rId9" w:type="even"/>
          <w:footerReference r:id="rId11" w:type="even"/>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bookmarkStart w:id="20" w:name="BookMark1"/>
    </w:p>
    <w:p>
      <w:pPr>
        <w:pStyle w:val="28"/>
        <w:spacing w:after="360"/>
        <w:rPr>
          <w:rFonts w:hint="eastAsia"/>
          <w:spacing w:val="320"/>
        </w:rPr>
        <w:sectPr>
          <w:footerReference r:id="rId12" w:type="default"/>
          <w:type w:val="continuous"/>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p>
    <w:p>
      <w:pPr>
        <w:pStyle w:val="28"/>
        <w:spacing w:after="360"/>
        <w:rPr>
          <w:rFonts w:hint="eastAsia"/>
        </w:rPr>
      </w:pPr>
      <w:r>
        <w:rPr>
          <w:rFonts w:hint="eastAsia"/>
          <w:spacing w:val="320"/>
        </w:rPr>
        <w:t>目</w:t>
      </w:r>
      <w:r>
        <w:rPr>
          <w:rFonts w:hint="eastAsia"/>
        </w:rPr>
        <w:t>次</w:t>
      </w:r>
    </w:p>
    <w:p>
      <w:pPr>
        <w:pStyle w:val="5"/>
        <w:tabs>
          <w:tab w:val="right" w:leader="dot" w:pos="8630"/>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"_Toc121127172" </w:instrText>
      </w:r>
      <w:r>
        <w:fldChar w:fldCharType="separate"/>
      </w:r>
      <w:r>
        <w:rPr>
          <w:rStyle w:val="9"/>
        </w:rPr>
        <w:t xml:space="preserve">1 </w:t>
      </w:r>
      <w:r>
        <w:rPr>
          <w:rStyle w:val="9"/>
          <w:rFonts w:hint="eastAsia"/>
        </w:rPr>
        <w:t xml:space="preserve"> 范围</w:t>
      </w:r>
      <w:r>
        <w:tab/>
      </w:r>
      <w:r>
        <w:fldChar w:fldCharType="begin"/>
      </w:r>
      <w:r>
        <w:instrText xml:space="preserve"> PAGEREF _Toc121127172 \h </w:instrText>
      </w:r>
      <w:r>
        <w:fldChar w:fldCharType="separate"/>
      </w:r>
      <w:r>
        <w:t>1</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"_Toc121127173" </w:instrText>
      </w:r>
      <w:r>
        <w:fldChar w:fldCharType="separate"/>
      </w:r>
      <w:r>
        <w:rPr>
          <w:rStyle w:val="9"/>
        </w:rPr>
        <w:t xml:space="preserve">2 </w:t>
      </w:r>
      <w:r>
        <w:rPr>
          <w:rStyle w:val="9"/>
          <w:rFonts w:hint="eastAsia"/>
        </w:rPr>
        <w:t xml:space="preserve"> 规范性引用文件</w:t>
      </w:r>
      <w:r>
        <w:tab/>
      </w:r>
      <w:r>
        <w:fldChar w:fldCharType="begin"/>
      </w:r>
      <w:r>
        <w:instrText xml:space="preserve"> PAGEREF _Toc121127173 \h </w:instrText>
      </w:r>
      <w:r>
        <w:fldChar w:fldCharType="separate"/>
      </w:r>
      <w:r>
        <w:t>1</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"_Toc121127174" </w:instrText>
      </w:r>
      <w:r>
        <w:fldChar w:fldCharType="separate"/>
      </w:r>
      <w:r>
        <w:rPr>
          <w:rStyle w:val="9"/>
        </w:rPr>
        <w:t xml:space="preserve">3 </w:t>
      </w:r>
      <w:r>
        <w:rPr>
          <w:rStyle w:val="9"/>
          <w:rFonts w:hint="eastAsia"/>
        </w:rPr>
        <w:t xml:space="preserve"> 术语和定义</w:t>
      </w:r>
      <w:r>
        <w:tab/>
      </w:r>
      <w:r>
        <w:fldChar w:fldCharType="begin"/>
      </w:r>
      <w:r>
        <w:instrText xml:space="preserve"> PAGEREF _Toc121127174 \h </w:instrText>
      </w:r>
      <w:r>
        <w:fldChar w:fldCharType="separate"/>
      </w:r>
      <w:r>
        <w:t>1</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"_Toc121127175" </w:instrText>
      </w:r>
      <w:r>
        <w:fldChar w:fldCharType="separate"/>
      </w:r>
      <w:r>
        <w:rPr>
          <w:rStyle w:val="9"/>
        </w:rPr>
        <w:t xml:space="preserve">4 </w:t>
      </w:r>
      <w:r>
        <w:rPr>
          <w:rStyle w:val="9"/>
          <w:rFonts w:hint="eastAsia"/>
        </w:rPr>
        <w:t xml:space="preserve"> 无抗饲料营养标准</w:t>
      </w:r>
      <w:r>
        <w:tab/>
      </w:r>
      <w:r>
        <w:fldChar w:fldCharType="begin"/>
      </w:r>
      <w:r>
        <w:instrText xml:space="preserve"> PAGEREF _Toc121127175 \h </w:instrText>
      </w:r>
      <w:r>
        <w:fldChar w:fldCharType="separate"/>
      </w:r>
      <w:r>
        <w:t>1</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"_Toc121127179" </w:instrText>
      </w:r>
      <w:r>
        <w:fldChar w:fldCharType="separate"/>
      </w:r>
      <w:r>
        <w:rPr>
          <w:rStyle w:val="9"/>
        </w:rPr>
        <w:t xml:space="preserve">5 </w:t>
      </w:r>
      <w:r>
        <w:rPr>
          <w:rStyle w:val="9"/>
          <w:rFonts w:hint="eastAsia"/>
        </w:rPr>
        <w:t xml:space="preserve"> 生长育肥猪无抗养殖</w:t>
      </w:r>
      <w:r>
        <w:tab/>
      </w:r>
      <w:r>
        <w:fldChar w:fldCharType="begin"/>
      </w:r>
      <w:r>
        <w:instrText xml:space="preserve"> PAGEREF _Toc121127179 \h </w:instrText>
      </w:r>
      <w:r>
        <w:fldChar w:fldCharType="separate"/>
      </w:r>
      <w:r>
        <w:t>3</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"_Toc121127185" </w:instrText>
      </w:r>
      <w:r>
        <w:fldChar w:fldCharType="separate"/>
      </w:r>
      <w:r>
        <w:rPr>
          <w:rStyle w:val="9"/>
        </w:rPr>
        <w:t xml:space="preserve">6 </w:t>
      </w:r>
      <w:r>
        <w:rPr>
          <w:rStyle w:val="9"/>
          <w:rFonts w:hint="eastAsia"/>
        </w:rPr>
        <w:t xml:space="preserve"> 屠宰要求</w:t>
      </w:r>
      <w:r>
        <w:tab/>
      </w:r>
      <w:r>
        <w:fldChar w:fldCharType="begin"/>
      </w:r>
      <w:r>
        <w:instrText xml:space="preserve"> PAGEREF _Toc121127185 \h </w:instrText>
      </w:r>
      <w:r>
        <w:fldChar w:fldCharType="separate"/>
      </w:r>
      <w:r>
        <w:t>4</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"_Toc121127186" </w:instrText>
      </w:r>
      <w:r>
        <w:fldChar w:fldCharType="separate"/>
      </w:r>
      <w:r>
        <w:rPr>
          <w:rStyle w:val="9"/>
        </w:rPr>
        <w:t xml:space="preserve">7 </w:t>
      </w:r>
      <w:r>
        <w:rPr>
          <w:rStyle w:val="9"/>
          <w:rFonts w:hint="eastAsia"/>
        </w:rPr>
        <w:t xml:space="preserve"> 贮存、运输及销售</w:t>
      </w:r>
      <w:r>
        <w:tab/>
      </w:r>
      <w:r>
        <w:fldChar w:fldCharType="begin"/>
      </w:r>
      <w:r>
        <w:instrText xml:space="preserve"> PAGEREF _Toc121127186 \h </w:instrText>
      </w:r>
      <w:r>
        <w:fldChar w:fldCharType="separate"/>
      </w:r>
      <w:r>
        <w:t>4</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"_Toc121127187" </w:instrText>
      </w:r>
      <w:r>
        <w:fldChar w:fldCharType="separate"/>
      </w:r>
      <w:r>
        <w:rPr>
          <w:rStyle w:val="9"/>
        </w:rPr>
        <w:t xml:space="preserve">8 </w:t>
      </w:r>
      <w:r>
        <w:rPr>
          <w:rStyle w:val="9"/>
          <w:rFonts w:hint="eastAsia"/>
        </w:rPr>
        <w:t xml:space="preserve"> 召回</w:t>
      </w:r>
      <w:r>
        <w:tab/>
      </w:r>
      <w:r>
        <w:fldChar w:fldCharType="begin"/>
      </w:r>
      <w:r>
        <w:instrText xml:space="preserve"> PAGEREF _Toc121127187 \h </w:instrText>
      </w:r>
      <w:r>
        <w:fldChar w:fldCharType="separate"/>
      </w:r>
      <w:r>
        <w:t>4</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"_Toc121127188" </w:instrText>
      </w:r>
      <w:r>
        <w:fldChar w:fldCharType="separate"/>
      </w:r>
      <w:r>
        <w:rPr>
          <w:rStyle w:val="9"/>
          <w:rFonts w:hint="eastAsia"/>
        </w:rPr>
        <w:t>参考文献</w:t>
      </w:r>
      <w:r>
        <w:tab/>
      </w:r>
      <w:r>
        <w:fldChar w:fldCharType="begin"/>
      </w:r>
      <w:r>
        <w:instrText xml:space="preserve"> PAGEREF _Toc121127188 \h </w:instrText>
      </w:r>
      <w:r>
        <w:fldChar w:fldCharType="separate"/>
      </w:r>
      <w:r>
        <w:t>5</w:t>
      </w:r>
      <w:r>
        <w:fldChar w:fldCharType="end"/>
      </w:r>
      <w:r>
        <w:fldChar w:fldCharType="end"/>
      </w:r>
    </w:p>
    <w:p>
      <w:pPr>
        <w:pStyle w:val="28"/>
        <w:spacing w:after="360"/>
        <w:sectPr>
          <w:headerReference r:id="rId13" w:type="default"/>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r>
        <w:fldChar w:fldCharType="end"/>
      </w:r>
    </w:p>
    <w:p>
      <w:pPr>
        <w:pStyle w:val="28"/>
        <w:spacing w:after="360"/>
        <w:sectPr>
          <w:type w:val="continuous"/>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p>
    <w:p>
      <w:pPr>
        <w:pStyle w:val="28"/>
        <w:spacing w:after="360"/>
        <w:jc w:val="both"/>
        <w:sectPr>
          <w:headerReference r:id="rId14" w:type="default"/>
          <w:footerReference r:id="rId15" w:type="default"/>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p>
    <w:p>
      <w:pPr>
        <w:pStyle w:val="28"/>
        <w:spacing w:after="360"/>
        <w:jc w:val="both"/>
        <w:sectPr>
          <w:footerReference r:id="rId16" w:type="default"/>
          <w:type w:val="continuous"/>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p>
    <w:bookmarkEnd w:id="20"/>
    <w:p>
      <w:pPr>
        <w:pStyle w:val="29"/>
        <w:spacing w:after="360"/>
      </w:pPr>
      <w:bookmarkStart w:id="21" w:name="_Toc121127171"/>
      <w:bookmarkStart w:id="22" w:name="BookMark2"/>
      <w:r>
        <w:rPr>
          <w:spacing w:val="320"/>
        </w:rPr>
        <w:t>前</w:t>
      </w:r>
      <w:r>
        <w:t>言</w:t>
      </w:r>
      <w:bookmarkEnd w:id="21"/>
    </w:p>
    <w:p>
      <w:pPr>
        <w:pStyle w:val="17"/>
        <w:ind w:firstLine="420"/>
      </w:pPr>
      <w:r>
        <w:rPr>
          <w:rFonts w:hint="eastAsia"/>
        </w:rPr>
        <w:t>本文件按照GB/T 1.1—2020《标准化工作导则  第1部分：标准化文件的结构和起草规则》的规定起草。</w:t>
      </w:r>
    </w:p>
    <w:p>
      <w:pPr>
        <w:ind w:firstLine="420" w:firstLineChars="200"/>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请注意本文件的某些内容可能涉及专利。本文件的发布机构不承担识别专利的责任。</w:t>
      </w:r>
    </w:p>
    <w:p>
      <w:pPr>
        <w:pStyle w:val="17"/>
        <w:ind w:firstLine="420"/>
      </w:pPr>
      <w:r>
        <w:rPr>
          <w:rFonts w:hint="eastAsia" w:hAnsi="宋体"/>
        </w:rPr>
        <w:t>本文件由辽宁省农业农村厅提出并归口管理。</w:t>
      </w:r>
    </w:p>
    <w:p>
      <w:pPr>
        <w:pStyle w:val="17"/>
        <w:ind w:firstLine="420"/>
      </w:pPr>
      <w:r>
        <w:rPr>
          <w:rFonts w:hint="eastAsia" w:hAnsi="宋体"/>
        </w:rPr>
        <w:t>本文件起草单位：辽宁省农业发展服务中心、禾丰食品股份有限公司、辽宁菲迪饲料科技有限责任公司。</w:t>
      </w:r>
    </w:p>
    <w:p>
      <w:pPr>
        <w:pStyle w:val="17"/>
        <w:ind w:firstLine="420"/>
      </w:pPr>
      <w:r>
        <w:rPr>
          <w:rFonts w:hint="eastAsia" w:hAnsi="宋体"/>
        </w:rPr>
        <w:t>本文件主要起草人：冯大兴、吴振洲、董延江</w:t>
      </w:r>
      <w:r>
        <w:rPr>
          <w:rFonts w:hint="eastAsia" w:hAnsi="宋体"/>
          <w:lang w:eastAsia="zh-CN"/>
        </w:rPr>
        <w:t>、张淑枝</w:t>
      </w:r>
      <w:r>
        <w:rPr>
          <w:rFonts w:hint="eastAsia" w:hAnsi="宋体"/>
        </w:rPr>
        <w:t>、刘春海、张岩彬、吴倩、常海波、卞大伟</w:t>
      </w:r>
      <w:r>
        <w:rPr>
          <w:rFonts w:hint="eastAsia" w:hAnsi="宋体"/>
          <w:lang w:eastAsia="zh-CN"/>
        </w:rPr>
        <w:t>、</w:t>
      </w:r>
      <w:r>
        <w:rPr>
          <w:rFonts w:hint="eastAsia" w:hAnsi="宋体"/>
        </w:rPr>
        <w:t>饶正华、张军民。</w:t>
      </w:r>
    </w:p>
    <w:p>
      <w:pPr>
        <w:pStyle w:val="17"/>
        <w:ind w:firstLine="420"/>
      </w:pPr>
      <w:r>
        <w:rPr>
          <w:rFonts w:hint="eastAsia" w:hAnsi="宋体"/>
        </w:rPr>
        <w:t>本文件发布实施后，任何单位和个人如有问题和意见建议，均可以通过来电和来函等方式进行反馈，我们将及时答复并认真处理，根据实际情况依法进行评估及复审。</w:t>
      </w:r>
    </w:p>
    <w:p>
      <w:pPr>
        <w:pStyle w:val="17"/>
        <w:ind w:firstLine="420"/>
      </w:pPr>
      <w:r>
        <w:rPr>
          <w:rFonts w:hint="eastAsia" w:hAnsi="宋体"/>
        </w:rPr>
        <w:t>归口管理部门通讯地址：辽宁省农业农村厅（沈阳市和平区太原北街2号），联系电话：024-23447862。</w:t>
      </w:r>
    </w:p>
    <w:p>
      <w:pPr>
        <w:pStyle w:val="17"/>
        <w:ind w:firstLine="420"/>
        <w:rPr>
          <w:rFonts w:hint="eastAsia" w:hAnsi="宋体"/>
        </w:rPr>
        <w:sectPr>
          <w:pgSz w:w="12240" w:h="15840"/>
          <w:pgMar w:top="1440" w:right="1800" w:bottom="1440" w:left="1800" w:header="720" w:footer="720" w:gutter="0"/>
          <w:pgBorders>
            <w:top w:val="none" w:sz="0" w:space="0"/>
            <w:left w:val="none" w:sz="0" w:space="0"/>
            <w:bottom w:val="none" w:sz="0" w:space="0"/>
            <w:right w:val="none" w:sz="0" w:space="0"/>
          </w:pgBorders>
          <w:pgNumType w:fmt="upperRoman"/>
          <w:cols w:space="720" w:num="1"/>
        </w:sectPr>
      </w:pPr>
      <w:r>
        <w:rPr>
          <w:rFonts w:hint="eastAsia" w:hAnsi="宋体"/>
        </w:rPr>
        <w:t>文件起草单位通讯地址：</w:t>
      </w:r>
      <w:r>
        <w:rPr>
          <w:rFonts w:hint="eastAsia" w:hAnsi="宋体"/>
          <w:lang w:eastAsia="zh-CN"/>
        </w:rPr>
        <w:t>辽宁省</w:t>
      </w:r>
      <w:r>
        <w:rPr>
          <w:rFonts w:hint="eastAsia" w:hAnsi="宋体"/>
        </w:rPr>
        <w:t>沈阳市和平区南四经街143号，联系电话：</w:t>
      </w:r>
      <w:r>
        <w:rPr>
          <w:rFonts w:hint="eastAsia"/>
        </w:rPr>
        <w:t>024-</w:t>
      </w:r>
      <w:r>
        <w:rPr>
          <w:rFonts w:hint="eastAsia" w:hAnsi="宋体"/>
        </w:rPr>
        <w:t>23263975。</w:t>
      </w:r>
    </w:p>
    <w:p>
      <w:pPr>
        <w:pStyle w:val="17"/>
        <w:ind w:left="0" w:leftChars="0" w:firstLine="0" w:firstLineChars="0"/>
        <w:rPr>
          <w:rFonts w:hint="eastAsia" w:hAnsi="宋体"/>
        </w:rPr>
        <w:sectPr>
          <w:headerReference r:id="rId17" w:type="default"/>
          <w:footerReference r:id="rId18" w:type="default"/>
          <w:pgSz w:w="12240" w:h="15840"/>
          <w:pgMar w:top="1440" w:right="1800" w:bottom="1440" w:left="1800" w:header="720" w:footer="720" w:gutter="0"/>
          <w:pgBorders>
            <w:top w:val="none" w:sz="0" w:space="0"/>
            <w:left w:val="none" w:sz="0" w:space="0"/>
            <w:bottom w:val="none" w:sz="0" w:space="0"/>
            <w:right w:val="none" w:sz="0" w:space="0"/>
          </w:pgBorders>
          <w:pgNumType w:fmt="upperRoman"/>
          <w:cols w:space="720" w:num="1"/>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d8ca0bea-2e2f-4993-86be-620c0a607f6f}"/>
        </w:placeholder>
      </w:sdtPr>
      <w:sdtContent>
        <w:p>
          <w:pPr>
            <w:pStyle w:val="30"/>
            <w:spacing w:before="567" w:beforeLines="182" w:after="686" w:afterLines="220"/>
          </w:pPr>
          <w:bookmarkStart w:id="24" w:name="NEW_STAND_NAME"/>
          <w:r>
            <w:rPr>
              <w:rFonts w:hint="eastAsia"/>
            </w:rPr>
            <w:t>肉羊无抗养殖技术规程</w:t>
          </w:r>
        </w:p>
      </w:sdtContent>
    </w:sdt>
    <w:bookmarkEnd w:id="23"/>
    <w:bookmarkEnd w:id="24"/>
    <w:p>
      <w:pPr>
        <w:spacing w:line="360" w:lineRule="auto"/>
        <w:rPr>
          <w:b/>
          <w:bCs/>
        </w:rPr>
      </w:pPr>
      <w:r>
        <w:rPr>
          <w:rFonts w:hint="eastAsia"/>
          <w:b/>
          <w:bCs/>
        </w:rPr>
        <w:t>1</w:t>
      </w:r>
      <w:r>
        <w:rPr>
          <w:b/>
          <w:bCs/>
        </w:rPr>
        <w:t xml:space="preserve"> </w:t>
      </w:r>
      <w:r>
        <w:rPr>
          <w:rFonts w:hint="eastAsia"/>
          <w:b/>
          <w:bCs/>
        </w:rPr>
        <w:t>范围</w:t>
      </w:r>
    </w:p>
    <w:p>
      <w:pPr>
        <w:spacing w:line="360" w:lineRule="auto"/>
        <w:ind w:firstLine="420" w:firstLineChars="200"/>
      </w:pPr>
      <w:r>
        <w:rPr>
          <w:rFonts w:hint="eastAsia"/>
        </w:rPr>
        <w:t>本标准规定了肉羊育肥场进羊前的准备、饲养管理、疫病防控、废弃物处理和档案管理等规范。</w:t>
      </w:r>
    </w:p>
    <w:p>
      <w:pPr>
        <w:spacing w:line="360" w:lineRule="auto"/>
        <w:ind w:firstLine="420" w:firstLineChars="200"/>
      </w:pPr>
      <w:r>
        <w:rPr>
          <w:rFonts w:hint="eastAsia"/>
        </w:rPr>
        <w:t>本标准适用于无抗肉羊育肥的生产饲喂管理。</w:t>
      </w:r>
    </w:p>
    <w:p>
      <w:pPr>
        <w:spacing w:line="360" w:lineRule="auto"/>
        <w:rPr>
          <w:b/>
          <w:bCs/>
        </w:rPr>
      </w:pPr>
      <w:r>
        <w:rPr>
          <w:rFonts w:hint="eastAsia"/>
          <w:b/>
          <w:bCs/>
        </w:rPr>
        <w:t>2</w:t>
      </w:r>
      <w:r>
        <w:rPr>
          <w:b/>
          <w:bCs/>
        </w:rPr>
        <w:t xml:space="preserve"> </w:t>
      </w:r>
      <w:r>
        <w:rPr>
          <w:rFonts w:hint="eastAsia"/>
          <w:b/>
          <w:bCs/>
        </w:rPr>
        <w:t>规范性引用文件</w:t>
      </w:r>
    </w:p>
    <w:p>
      <w:pPr>
        <w:spacing w:line="360" w:lineRule="auto"/>
        <w:ind w:firstLine="420" w:firstLineChars="200"/>
      </w:pPr>
      <w:r>
        <w:rPr>
          <w:rFonts w:hint="eastAsia"/>
        </w:rPr>
        <w:t>下列文件中的条款通过本标准的引用而成为本标准的条款。凡是注日期的引用文件，仅该日期对应的版本适用于本文件。凡是不注日期的引用文件，其最新版本（包括所有的修改单）适用于本标准。</w:t>
      </w:r>
    </w:p>
    <w:p>
      <w:pPr>
        <w:spacing w:line="360" w:lineRule="auto"/>
        <w:ind w:firstLine="420" w:firstLineChars="200"/>
      </w:pPr>
      <w:r>
        <w:rPr>
          <w:rFonts w:hint="eastAsia"/>
        </w:rPr>
        <w:t>G</w:t>
      </w:r>
      <w:r>
        <w:t xml:space="preserve">B 13078-2017 </w:t>
      </w:r>
      <w:r>
        <w:rPr>
          <w:rFonts w:hint="eastAsia"/>
        </w:rPr>
        <w:t>饲料卫生标准</w:t>
      </w:r>
    </w:p>
    <w:p>
      <w:pPr>
        <w:spacing w:line="360" w:lineRule="auto"/>
        <w:ind w:firstLine="420" w:firstLineChars="200"/>
      </w:pPr>
      <w:r>
        <w:rPr>
          <w:rFonts w:hint="eastAsia"/>
        </w:rPr>
        <w:t>G</w:t>
      </w:r>
      <w:r>
        <w:t xml:space="preserve">B 18596-2001 </w:t>
      </w:r>
      <w:r>
        <w:rPr>
          <w:rFonts w:hint="eastAsia"/>
        </w:rPr>
        <w:t>畜禽养殖业污染物排放标准</w:t>
      </w:r>
    </w:p>
    <w:p>
      <w:pPr>
        <w:spacing w:line="360" w:lineRule="auto"/>
        <w:ind w:firstLine="420" w:firstLineChars="200"/>
      </w:pPr>
      <w:r>
        <w:rPr>
          <w:rFonts w:hint="eastAsia"/>
        </w:rPr>
        <w:t>N</w:t>
      </w:r>
      <w:r>
        <w:t xml:space="preserve">Y/T 816-2021 </w:t>
      </w:r>
      <w:r>
        <w:rPr>
          <w:rFonts w:hint="eastAsia"/>
        </w:rPr>
        <w:t>肉羊营养需要量</w:t>
      </w:r>
    </w:p>
    <w:p>
      <w:pPr>
        <w:spacing w:line="360" w:lineRule="auto"/>
        <w:ind w:firstLine="420" w:firstLineChars="200"/>
      </w:pPr>
      <w:r>
        <w:rPr>
          <w:rFonts w:hint="eastAsia"/>
        </w:rPr>
        <w:t>N</w:t>
      </w:r>
      <w:r>
        <w:t xml:space="preserve">Y/T 5027-2008 </w:t>
      </w:r>
      <w:r>
        <w:rPr>
          <w:rFonts w:hint="eastAsia"/>
        </w:rPr>
        <w:t>无公害食品 畜禽饮用水水质</w:t>
      </w:r>
    </w:p>
    <w:p>
      <w:pPr>
        <w:spacing w:line="360" w:lineRule="auto"/>
        <w:ind w:firstLine="420" w:firstLineChars="200"/>
      </w:pPr>
      <w:r>
        <w:rPr>
          <w:rFonts w:hint="eastAsia"/>
        </w:rPr>
        <w:t>N</w:t>
      </w:r>
      <w:r>
        <w:t xml:space="preserve">Y/T 5149-2002 </w:t>
      </w:r>
      <w:r>
        <w:rPr>
          <w:rFonts w:hint="eastAsia"/>
        </w:rPr>
        <w:t>无公害食品 肉羊饲养兽医防疫准则</w:t>
      </w:r>
    </w:p>
    <w:p>
      <w:pPr>
        <w:spacing w:line="360" w:lineRule="auto"/>
        <w:ind w:firstLine="420" w:firstLineChars="200"/>
      </w:pPr>
      <w:r>
        <w:rPr>
          <w:rFonts w:hint="eastAsia"/>
        </w:rPr>
        <w:t>N</w:t>
      </w:r>
      <w:r>
        <w:t xml:space="preserve">Y/T 2665-2014 </w:t>
      </w:r>
      <w:r>
        <w:rPr>
          <w:rFonts w:hint="eastAsia"/>
        </w:rPr>
        <w:t>标准化养殖场 肉羊</w:t>
      </w:r>
    </w:p>
    <w:p>
      <w:pPr>
        <w:spacing w:line="360" w:lineRule="auto"/>
        <w:ind w:firstLine="420" w:firstLineChars="200"/>
      </w:pPr>
      <w:r>
        <w:rPr>
          <w:rFonts w:hint="eastAsia"/>
        </w:rPr>
        <w:t>N</w:t>
      </w:r>
      <w:r>
        <w:t xml:space="preserve">Y/T 5030-2016 </w:t>
      </w:r>
      <w:r>
        <w:rPr>
          <w:rFonts w:hint="eastAsia"/>
        </w:rPr>
        <w:t>无公害农产品 兽药使用准则</w:t>
      </w:r>
    </w:p>
    <w:p>
      <w:pPr>
        <w:spacing w:line="360" w:lineRule="auto"/>
        <w:ind w:firstLine="420" w:firstLineChars="200"/>
      </w:pPr>
      <w:r>
        <w:rPr>
          <w:rFonts w:hint="eastAsia"/>
        </w:rPr>
        <w:t>N</w:t>
      </w:r>
      <w:r>
        <w:t xml:space="preserve">Y/T 1168-2006 </w:t>
      </w:r>
      <w:r>
        <w:rPr>
          <w:rFonts w:hint="eastAsia"/>
        </w:rPr>
        <w:t>畜禽粪便无害化处理技术规范</w:t>
      </w:r>
    </w:p>
    <w:p>
      <w:pPr>
        <w:spacing w:line="360" w:lineRule="auto"/>
        <w:ind w:firstLine="420" w:firstLineChars="200"/>
      </w:pPr>
      <w:r>
        <w:rPr>
          <w:rFonts w:hint="eastAsia"/>
        </w:rPr>
        <w:t>中华人民共和国兽药典</w:t>
      </w:r>
    </w:p>
    <w:p>
      <w:pPr>
        <w:spacing w:line="360" w:lineRule="auto"/>
        <w:ind w:firstLine="420" w:firstLineChars="200"/>
      </w:pPr>
      <w:r>
        <w:rPr>
          <w:rFonts w:hint="eastAsia"/>
        </w:rPr>
        <w:t>中华人民共和国农业部公告第1</w:t>
      </w:r>
      <w:r>
        <w:t>773</w:t>
      </w:r>
      <w:r>
        <w:rPr>
          <w:rFonts w:hint="eastAsia"/>
        </w:rPr>
        <w:t>号 饲料原料目录</w:t>
      </w:r>
    </w:p>
    <w:p>
      <w:pPr>
        <w:spacing w:line="360" w:lineRule="auto"/>
        <w:ind w:firstLine="420" w:firstLineChars="200"/>
      </w:pPr>
      <w:r>
        <w:rPr>
          <w:rFonts w:hint="eastAsia"/>
        </w:rPr>
        <w:t>中华人民共和国农业部公告第2</w:t>
      </w:r>
      <w:r>
        <w:t>045</w:t>
      </w:r>
      <w:r>
        <w:rPr>
          <w:rFonts w:hint="eastAsia"/>
        </w:rPr>
        <w:t>号 饲料添加剂品种目录</w:t>
      </w:r>
    </w:p>
    <w:p>
      <w:pPr>
        <w:spacing w:line="360" w:lineRule="auto"/>
        <w:rPr>
          <w:b/>
          <w:bCs/>
        </w:rPr>
      </w:pPr>
      <w:r>
        <w:rPr>
          <w:rFonts w:hint="eastAsia"/>
          <w:b/>
          <w:bCs/>
        </w:rPr>
        <w:t>3</w:t>
      </w:r>
      <w:r>
        <w:rPr>
          <w:b/>
          <w:bCs/>
        </w:rPr>
        <w:t xml:space="preserve"> </w:t>
      </w:r>
      <w:r>
        <w:rPr>
          <w:rFonts w:hint="eastAsia"/>
          <w:b/>
          <w:bCs/>
        </w:rPr>
        <w:t>术语和定义</w:t>
      </w:r>
    </w:p>
    <w:p>
      <w:pPr>
        <w:spacing w:line="360" w:lineRule="auto"/>
        <w:ind w:firstLine="420" w:firstLineChars="200"/>
      </w:pPr>
      <w:r>
        <w:rPr>
          <w:rFonts w:hint="eastAsia"/>
        </w:rPr>
        <w:t>本文件没有需要界定的术语和定义。</w:t>
      </w:r>
    </w:p>
    <w:p>
      <w:pPr>
        <w:spacing w:line="360" w:lineRule="auto"/>
        <w:rPr>
          <w:b/>
          <w:bCs/>
        </w:rPr>
      </w:pPr>
      <w:r>
        <w:rPr>
          <w:rFonts w:hint="eastAsia"/>
          <w:b/>
          <w:bCs/>
        </w:rPr>
        <w:t>4</w:t>
      </w:r>
      <w:r>
        <w:rPr>
          <w:b/>
          <w:bCs/>
        </w:rPr>
        <w:t xml:space="preserve"> </w:t>
      </w:r>
      <w:r>
        <w:rPr>
          <w:rFonts w:hint="eastAsia"/>
          <w:b/>
          <w:bCs/>
        </w:rPr>
        <w:t>养殖环境与设施设备</w:t>
      </w:r>
    </w:p>
    <w:p>
      <w:pPr>
        <w:spacing w:line="360" w:lineRule="auto"/>
      </w:pPr>
      <w:r>
        <w:rPr>
          <w:rFonts w:hint="eastAsia"/>
        </w:rPr>
        <w:t>4</w:t>
      </w:r>
      <w:r>
        <w:t xml:space="preserve">.1 </w:t>
      </w:r>
      <w:r>
        <w:rPr>
          <w:rFonts w:hint="eastAsia"/>
        </w:rPr>
        <w:t>羊场选址、布局设计和卫生条件应符合N</w:t>
      </w:r>
      <w:r>
        <w:t>Y/T 2665</w:t>
      </w:r>
      <w:r>
        <w:rPr>
          <w:rFonts w:hint="eastAsia"/>
        </w:rPr>
        <w:t>的规定。</w:t>
      </w:r>
    </w:p>
    <w:p>
      <w:pPr>
        <w:spacing w:line="360" w:lineRule="auto"/>
      </w:pPr>
      <w:r>
        <w:t xml:space="preserve">4.2 </w:t>
      </w:r>
      <w:r>
        <w:rPr>
          <w:rFonts w:hint="eastAsia"/>
        </w:rPr>
        <w:t>采用舍饲饲养模式的羊舍面积为1</w:t>
      </w:r>
      <w:r>
        <w:t>~1.3</w:t>
      </w:r>
      <w:r>
        <w:rPr>
          <w:rFonts w:hint="eastAsia"/>
        </w:rPr>
        <w:t>米</w:t>
      </w:r>
      <w:r>
        <w:rPr>
          <w:rFonts w:hint="eastAsia"/>
          <w:vertAlign w:val="superscript"/>
        </w:rPr>
        <w:t>2</w:t>
      </w:r>
      <w:r>
        <w:t>/</w:t>
      </w:r>
      <w:r>
        <w:rPr>
          <w:rFonts w:hint="eastAsia"/>
        </w:rPr>
        <w:t>只；饲槽采食宽度至少0</w:t>
      </w:r>
      <w:r>
        <w:t>.4</w:t>
      </w:r>
      <w:r>
        <w:rPr>
          <w:rFonts w:hint="eastAsia"/>
        </w:rPr>
        <w:t>米/只。</w:t>
      </w:r>
    </w:p>
    <w:p>
      <w:pPr>
        <w:spacing w:line="360" w:lineRule="auto"/>
      </w:pPr>
      <w:r>
        <w:rPr>
          <w:rFonts w:hint="eastAsia"/>
        </w:rPr>
        <w:t>4</w:t>
      </w:r>
      <w:r>
        <w:t xml:space="preserve">.3 </w:t>
      </w:r>
      <w:r>
        <w:rPr>
          <w:rFonts w:hint="eastAsia"/>
        </w:rPr>
        <w:t>场区应设有草料库、精料库、日粮混合车间等储存和加工厂所。羊场应配备粉碎机、铡草机、小型混合机。供水供电设施设备应齐全，满足生产需求。</w:t>
      </w:r>
    </w:p>
    <w:p>
      <w:pPr>
        <w:spacing w:line="360" w:lineRule="auto"/>
      </w:pPr>
      <w:r>
        <w:rPr>
          <w:rFonts w:hint="eastAsia"/>
        </w:rPr>
        <w:t>4</w:t>
      </w:r>
      <w:r>
        <w:t xml:space="preserve">.4 </w:t>
      </w:r>
      <w:r>
        <w:rPr>
          <w:rFonts w:hint="eastAsia"/>
        </w:rPr>
        <w:t>水质应符合N</w:t>
      </w:r>
      <w:r>
        <w:t>Y/T 5027</w:t>
      </w:r>
      <w:r>
        <w:rPr>
          <w:rFonts w:hint="eastAsia"/>
        </w:rPr>
        <w:t>的规定，饮水设施定期清洗和消毒。要求饮水供给充足，肉羊每天的饮水量约为3</w:t>
      </w:r>
      <w:r>
        <w:t>~5 kg/kg</w:t>
      </w:r>
      <w:r>
        <w:rPr>
          <w:rFonts w:hint="eastAsia"/>
        </w:rPr>
        <w:t>干物质采食量，根据季节和环境温度的不同而有波动。不饮冰水。</w:t>
      </w:r>
    </w:p>
    <w:p>
      <w:pPr>
        <w:spacing w:line="360" w:lineRule="auto"/>
        <w:rPr>
          <w:b/>
          <w:bCs/>
        </w:rPr>
      </w:pPr>
      <w:r>
        <w:rPr>
          <w:b/>
          <w:bCs/>
        </w:rPr>
        <w:t xml:space="preserve">5 </w:t>
      </w:r>
      <w:r>
        <w:rPr>
          <w:rFonts w:hint="eastAsia"/>
          <w:b/>
          <w:bCs/>
        </w:rPr>
        <w:t>进羊前的准备</w:t>
      </w:r>
    </w:p>
    <w:p>
      <w:pPr>
        <w:spacing w:line="360" w:lineRule="auto"/>
      </w:pPr>
      <w:r>
        <w:t xml:space="preserve">5.1 </w:t>
      </w:r>
      <w:r>
        <w:rPr>
          <w:rFonts w:hint="eastAsia"/>
        </w:rPr>
        <w:t>羊源的选择：应选择无疫病区健康活泼、被毛光亮、食欲好、体型宽大的羊只。</w:t>
      </w:r>
    </w:p>
    <w:p>
      <w:pPr>
        <w:spacing w:line="360" w:lineRule="auto"/>
      </w:pPr>
      <w:r>
        <w:t xml:space="preserve">5.2 </w:t>
      </w:r>
      <w:r>
        <w:rPr>
          <w:rFonts w:hint="eastAsia"/>
        </w:rPr>
        <w:t>羊舍的准备：应设立隔离羊舍，饲槽水槽结构完整、清洁可用。羊舍地面、墙壁、运动场都要进行彻底清洁与消毒，可采用1</w:t>
      </w:r>
      <w:r>
        <w:t>~2%</w:t>
      </w:r>
      <w:r>
        <w:rPr>
          <w:rFonts w:hint="eastAsia"/>
        </w:rPr>
        <w:t>火碱消毒。</w:t>
      </w:r>
    </w:p>
    <w:p>
      <w:pPr>
        <w:widowControl/>
        <w:shd w:val="clear" w:color="auto" w:fill="FFFFFF"/>
        <w:spacing w:line="360" w:lineRule="auto"/>
        <w:jc w:val="left"/>
      </w:pPr>
      <w:r>
        <w:t xml:space="preserve">5.3 </w:t>
      </w:r>
      <w:r>
        <w:rPr>
          <w:rFonts w:hint="eastAsia"/>
        </w:rPr>
        <w:t>投入品的准备</w:t>
      </w:r>
    </w:p>
    <w:p>
      <w:pPr>
        <w:widowControl/>
        <w:shd w:val="clear" w:color="auto" w:fill="FFFFFF"/>
        <w:spacing w:line="360" w:lineRule="auto"/>
        <w:jc w:val="left"/>
      </w:pPr>
      <w:r>
        <w:t xml:space="preserve">5.3.1 </w:t>
      </w:r>
      <w:r>
        <w:rPr>
          <w:rFonts w:hint="eastAsia"/>
        </w:rPr>
        <w:t>粗料的准备：根据养殖规划，储备足量的干草，因地制宜，可以选择秸秆、羊草、花生秧等中的一类。</w:t>
      </w:r>
    </w:p>
    <w:p>
      <w:pPr>
        <w:widowControl/>
        <w:shd w:val="clear" w:color="auto" w:fill="FFFFFF"/>
        <w:spacing w:line="360" w:lineRule="auto"/>
        <w:jc w:val="left"/>
      </w:pPr>
      <w:r>
        <w:t xml:space="preserve">5.3.2 </w:t>
      </w:r>
      <w:r>
        <w:rPr>
          <w:rFonts w:hint="eastAsia"/>
        </w:rPr>
        <w:t>精料的准备：根据养殖规划和物料的保质期，储备足量的原料、浓缩饲料或精料补充料。要保证购入的物料无发霉、变质、异味等现象。原料应符合《饲料原料目录》，</w:t>
      </w:r>
      <w:r>
        <w:t>不得饲喂肉骨粉、鱼粉等动物源性的饲料</w:t>
      </w:r>
      <w:r>
        <w:rPr>
          <w:rFonts w:hint="eastAsia"/>
        </w:rPr>
        <w:t>。商品饲料的卫生指标应符合G</w:t>
      </w:r>
      <w:r>
        <w:t>B 13078</w:t>
      </w:r>
      <w:r>
        <w:rPr>
          <w:rFonts w:hint="eastAsia"/>
        </w:rPr>
        <w:t>的规定。</w:t>
      </w:r>
    </w:p>
    <w:p>
      <w:pPr>
        <w:widowControl/>
        <w:shd w:val="clear" w:color="auto" w:fill="FFFFFF"/>
        <w:spacing w:line="360" w:lineRule="auto"/>
        <w:jc w:val="left"/>
      </w:pPr>
      <w:r>
        <w:t xml:space="preserve">5.3.3 </w:t>
      </w:r>
      <w:r>
        <w:rPr>
          <w:rFonts w:hint="eastAsia"/>
        </w:rPr>
        <w:t>保健产品及添加剂的准备：根据养殖规划和产品的保质期，储备足量的电解多维、微生态制剂或天然植物提取物等用于提高羊只免疫力和抗应激能力的中兽药、饲料原料和添加剂。所选用的中兽药、饲料原料和饲料添加剂应符合《中华人民共和国兽药典》和《饲料添加剂品种目录》，</w:t>
      </w:r>
      <w:r>
        <w:t>不得饲喂盐酸克伦特罗等促生长剂和莫能菌素等抗生素。</w:t>
      </w:r>
    </w:p>
    <w:p>
      <w:pPr>
        <w:spacing w:line="360" w:lineRule="auto"/>
        <w:rPr>
          <w:b/>
          <w:bCs/>
        </w:rPr>
      </w:pPr>
      <w:r>
        <w:rPr>
          <w:b/>
          <w:bCs/>
        </w:rPr>
        <w:t>6</w:t>
      </w:r>
      <w:r>
        <w:rPr>
          <w:rFonts w:hint="eastAsia"/>
          <w:b/>
          <w:bCs/>
        </w:rPr>
        <w:t xml:space="preserve"> 饲养管理</w:t>
      </w:r>
    </w:p>
    <w:p>
      <w:pPr>
        <w:pStyle w:val="13"/>
        <w:spacing w:line="360" w:lineRule="auto"/>
        <w:ind w:firstLine="0" w:firstLineChars="0"/>
      </w:pPr>
      <w:r>
        <w:t xml:space="preserve">6.1 </w:t>
      </w:r>
      <w:r>
        <w:rPr>
          <w:rFonts w:hint="eastAsia"/>
        </w:rPr>
        <w:t>新进羊应在隔离舍单独饲养。入场后2个小时开始供给饮水，并在水中添加电解多维、口服补液盐等。要保证水清洁，冬季时避免饮用冰水。</w:t>
      </w:r>
    </w:p>
    <w:p>
      <w:pPr>
        <w:spacing w:line="360" w:lineRule="auto"/>
      </w:pPr>
      <w:r>
        <w:t xml:space="preserve">6.2 </w:t>
      </w:r>
      <w:r>
        <w:rPr>
          <w:rFonts w:hint="eastAsia"/>
        </w:rPr>
        <w:t>营养需要的制定参照N</w:t>
      </w:r>
      <w:r>
        <w:t>Y/T 816</w:t>
      </w:r>
      <w:r>
        <w:rPr>
          <w:rFonts w:hint="eastAsia"/>
        </w:rPr>
        <w:t>执行。</w:t>
      </w:r>
    </w:p>
    <w:p>
      <w:pPr>
        <w:pStyle w:val="13"/>
        <w:spacing w:line="360" w:lineRule="auto"/>
        <w:ind w:firstLine="0" w:firstLineChars="0"/>
      </w:pPr>
      <w:r>
        <w:t xml:space="preserve">6.3 </w:t>
      </w:r>
      <w:r>
        <w:rPr>
          <w:rFonts w:hint="eastAsia"/>
        </w:rPr>
        <w:t>羊入场后的最初</w:t>
      </w:r>
      <w:r>
        <w:t>1</w:t>
      </w:r>
      <w:r>
        <w:rPr>
          <w:rFonts w:hint="eastAsia"/>
        </w:rPr>
        <w:t>天只喂粗饲料，第</w:t>
      </w:r>
      <w:r>
        <w:t>2</w:t>
      </w:r>
      <w:r>
        <w:rPr>
          <w:rFonts w:hint="eastAsia"/>
        </w:rPr>
        <w:t>天开始饲喂精料补充料颗粒，饲喂量从0</w:t>
      </w:r>
      <w:r>
        <w:t>.1 kg</w:t>
      </w:r>
      <w:r>
        <w:rPr>
          <w:rFonts w:hint="eastAsia"/>
        </w:rPr>
        <w:t>/头/天开始，在2</w:t>
      </w:r>
      <w:r>
        <w:t>0</w:t>
      </w:r>
      <w:r>
        <w:rPr>
          <w:rFonts w:hint="eastAsia"/>
        </w:rPr>
        <w:t>天过渡期内逐步提高至0</w:t>
      </w:r>
      <w:r>
        <w:t xml:space="preserve">.8~0.9 </w:t>
      </w:r>
      <w:r>
        <w:rPr>
          <w:rFonts w:hint="eastAsia"/>
        </w:rPr>
        <w:t>k</w:t>
      </w:r>
      <w:r>
        <w:t>g/</w:t>
      </w:r>
      <w:r>
        <w:rPr>
          <w:rFonts w:hint="eastAsia"/>
        </w:rPr>
        <w:t>头/天，该阶段饲养管理的重点目标是缓解羊入栏应激、降低死淘发生率。正式育肥期可以根据羊场的实际情况继续饲喂精料补充料，或者逐渐过渡至浓缩饲料辅以玉米饲喂的方式。过渡期和育肥期的日粮中建议添加微生态制剂或天然植物提取物，提高羊只的抗应激能力和免疫力。</w:t>
      </w:r>
    </w:p>
    <w:p>
      <w:pPr>
        <w:pStyle w:val="13"/>
        <w:spacing w:line="360" w:lineRule="auto"/>
        <w:ind w:firstLine="0" w:firstLineChars="0"/>
      </w:pPr>
      <w:r>
        <w:t xml:space="preserve">6.4 </w:t>
      </w:r>
      <w:r>
        <w:rPr>
          <w:rFonts w:hint="eastAsia"/>
        </w:rPr>
        <w:t>结合当地疫病流行情况和本场实际情况，有选择地进行疫病的预防接种工作。</w:t>
      </w:r>
    </w:p>
    <w:p>
      <w:pPr>
        <w:spacing w:line="360" w:lineRule="auto"/>
      </w:pPr>
      <w:r>
        <w:t xml:space="preserve">6.5 </w:t>
      </w:r>
      <w:r>
        <w:rPr>
          <w:rFonts w:hint="eastAsia"/>
        </w:rPr>
        <w:t>日粮加工采用全混合日粮方式，即将粗饲料、精饲料、其他辅料在T</w:t>
      </w:r>
      <w:r>
        <w:t>MR</w:t>
      </w:r>
      <w:r>
        <w:rPr>
          <w:rFonts w:hint="eastAsia"/>
        </w:rPr>
        <w:t>搅拌车中混合均匀的方式。每天饲喂2</w:t>
      </w:r>
      <w:r>
        <w:t>~3</w:t>
      </w:r>
      <w:r>
        <w:rPr>
          <w:rFonts w:hint="eastAsia"/>
        </w:rPr>
        <w:t>次，自由饮水。</w:t>
      </w:r>
    </w:p>
    <w:p>
      <w:pPr>
        <w:spacing w:line="360" w:lineRule="auto"/>
      </w:pPr>
      <w:r>
        <w:t xml:space="preserve">6.6 </w:t>
      </w:r>
      <w:r>
        <w:rPr>
          <w:rFonts w:hint="eastAsia"/>
        </w:rPr>
        <w:t>禁止以任何方式使用抗菌药。</w:t>
      </w:r>
    </w:p>
    <w:p>
      <w:pPr>
        <w:spacing w:line="360" w:lineRule="auto"/>
        <w:rPr>
          <w:b/>
          <w:bCs/>
        </w:rPr>
      </w:pPr>
      <w:r>
        <w:rPr>
          <w:b/>
          <w:bCs/>
        </w:rPr>
        <w:t xml:space="preserve">7 </w:t>
      </w:r>
      <w:r>
        <w:rPr>
          <w:rFonts w:hint="eastAsia"/>
          <w:b/>
          <w:bCs/>
        </w:rPr>
        <w:t>疾病防控</w:t>
      </w:r>
    </w:p>
    <w:p>
      <w:pPr>
        <w:spacing w:line="360" w:lineRule="auto"/>
      </w:pPr>
      <w:r>
        <w:t xml:space="preserve">7.1 </w:t>
      </w:r>
      <w:r>
        <w:rPr>
          <w:rFonts w:hint="eastAsia"/>
        </w:rPr>
        <w:t>防疫</w:t>
      </w:r>
    </w:p>
    <w:p>
      <w:pPr>
        <w:spacing w:line="360" w:lineRule="auto"/>
      </w:pPr>
      <w:r>
        <w:rPr>
          <w:rFonts w:hint="eastAsia"/>
        </w:rPr>
        <w:t>按N</w:t>
      </w:r>
      <w:r>
        <w:t>Y/T 5149</w:t>
      </w:r>
      <w:r>
        <w:rPr>
          <w:rFonts w:hint="eastAsia"/>
        </w:rPr>
        <w:t>的规定执行。</w:t>
      </w:r>
    </w:p>
    <w:p>
      <w:pPr>
        <w:spacing w:line="360" w:lineRule="auto"/>
      </w:pPr>
      <w:r>
        <w:t>7.2</w:t>
      </w:r>
      <w:r>
        <w:rPr>
          <w:rFonts w:hint="eastAsia"/>
        </w:rPr>
        <w:t>免疫接种</w:t>
      </w:r>
    </w:p>
    <w:p>
      <w:pPr>
        <w:spacing w:line="360" w:lineRule="auto"/>
        <w:ind w:firstLine="420" w:firstLineChars="200"/>
      </w:pPr>
      <w:r>
        <w:rPr>
          <w:rFonts w:hint="eastAsia"/>
        </w:rPr>
        <w:t>结合当地疫病流行情况和本场实际情况，有选择地进行疫病的预防接种工作。选择适宜的疫苗、免疫程序和免疫方法，进行免疫接种。春季建议免疫程序：三联四防、口蹄疫、传染性胸膜肺炎、羊痘、小反刍二联苗；秋季建议免疫程序：三联四防、传染性胸膜肺炎、羊痘、小反刍二联苗、口蹄疫。两次疫苗的间隔时间为7天。</w:t>
      </w:r>
    </w:p>
    <w:p>
      <w:pPr>
        <w:spacing w:line="360" w:lineRule="auto"/>
      </w:pPr>
      <w:r>
        <w:t xml:space="preserve">7.3 </w:t>
      </w:r>
      <w:r>
        <w:rPr>
          <w:rFonts w:hint="eastAsia"/>
        </w:rPr>
        <w:t>兽医人员</w:t>
      </w:r>
    </w:p>
    <w:p>
      <w:pPr>
        <w:spacing w:line="360" w:lineRule="auto"/>
        <w:ind w:firstLine="420" w:firstLineChars="200"/>
      </w:pPr>
      <w:r>
        <w:rPr>
          <w:rFonts w:hint="eastAsia"/>
        </w:rPr>
        <w:t>养殖场应邀请具有执业兽医师资质的人员，全职或兼职负责养殖过程中的防疫及疾病治疗工作。</w:t>
      </w:r>
    </w:p>
    <w:p>
      <w:pPr>
        <w:spacing w:line="360" w:lineRule="auto"/>
      </w:pPr>
      <w:r>
        <w:t xml:space="preserve">7.4 </w:t>
      </w:r>
      <w:r>
        <w:rPr>
          <w:rFonts w:hint="eastAsia"/>
        </w:rPr>
        <w:t>兽药使用原则</w:t>
      </w:r>
    </w:p>
    <w:p>
      <w:pPr>
        <w:spacing w:line="360" w:lineRule="auto"/>
        <w:ind w:firstLine="420" w:firstLineChars="200"/>
      </w:pPr>
      <w:r>
        <w:rPr>
          <w:rFonts w:hint="eastAsia"/>
        </w:rPr>
        <w:t>推荐使用微生态制剂结合天然植物提取物和中兽药制剂进行动物疾病的预防和治疗。不得使用抗生素或化学合成的兽药对羊只进行预防或治疗，禁止使用以生长为目的的抗菌药物、激素或其他促生长剂。</w:t>
      </w:r>
    </w:p>
    <w:p>
      <w:pPr>
        <w:spacing w:line="360" w:lineRule="auto"/>
      </w:pPr>
      <w:r>
        <w:t xml:space="preserve">7.5 </w:t>
      </w:r>
      <w:r>
        <w:rPr>
          <w:rFonts w:hint="eastAsia"/>
        </w:rPr>
        <w:t>微生态制剂和中兽药制剂</w:t>
      </w:r>
    </w:p>
    <w:p>
      <w:pPr>
        <w:spacing w:line="360" w:lineRule="auto"/>
      </w:pPr>
      <w:r>
        <w:t xml:space="preserve">7.5.1 </w:t>
      </w:r>
      <w:r>
        <w:rPr>
          <w:rFonts w:hint="eastAsia"/>
        </w:rPr>
        <w:t>中兽药制剂购买和使用应符合N</w:t>
      </w:r>
      <w:r>
        <w:t>Y/T 5030</w:t>
      </w:r>
      <w:r>
        <w:rPr>
          <w:rFonts w:hint="eastAsia"/>
        </w:rPr>
        <w:t>规定，其质量应符合《中华人民共和国兽药典》要求；天然植物提取物和微生态制剂应符合《饲料添加剂品种目录》的规定。</w:t>
      </w:r>
    </w:p>
    <w:p>
      <w:pPr>
        <w:spacing w:line="360" w:lineRule="auto"/>
      </w:pPr>
      <w:r>
        <w:t xml:space="preserve">7.5.2 </w:t>
      </w:r>
      <w:r>
        <w:rPr>
          <w:rFonts w:hint="eastAsia"/>
        </w:rPr>
        <w:t>整个饲养期可选用具有调控瘤胃健康功能的天然植物提取物、酵母或酵母培养物，用于预防瘤胃酸中毒及其他代谢疾病。</w:t>
      </w:r>
    </w:p>
    <w:p>
      <w:pPr>
        <w:spacing w:line="360" w:lineRule="auto"/>
      </w:pPr>
      <w:r>
        <w:t xml:space="preserve">7.6 </w:t>
      </w:r>
      <w:r>
        <w:rPr>
          <w:rFonts w:hint="eastAsia"/>
        </w:rPr>
        <w:t>消毒</w:t>
      </w:r>
    </w:p>
    <w:p>
      <w:pPr>
        <w:spacing w:line="360" w:lineRule="auto"/>
      </w:pPr>
      <w:r>
        <w:t xml:space="preserve">7.6.1 </w:t>
      </w:r>
      <w:r>
        <w:rPr>
          <w:rFonts w:hint="eastAsia"/>
        </w:rPr>
        <w:t>羊舍内外消毒</w:t>
      </w:r>
    </w:p>
    <w:p>
      <w:pPr>
        <w:spacing w:line="360" w:lineRule="auto"/>
      </w:pPr>
      <w:r>
        <w:rPr>
          <w:rFonts w:hint="eastAsia"/>
        </w:rPr>
        <w:t>消毒剂应选用对人和动物安全、对设备无破坏、对环境没有污染，且不会在肉品中残留的。</w:t>
      </w:r>
    </w:p>
    <w:p>
      <w:pPr>
        <w:spacing w:line="360" w:lineRule="auto"/>
      </w:pPr>
      <w:r>
        <w:t xml:space="preserve">7.6.2 </w:t>
      </w:r>
      <w:r>
        <w:rPr>
          <w:rFonts w:hint="eastAsia"/>
        </w:rPr>
        <w:t>人员、用具和进出车辆消毒</w:t>
      </w:r>
    </w:p>
    <w:p>
      <w:pPr>
        <w:spacing w:line="360" w:lineRule="auto"/>
      </w:pPr>
      <w:r>
        <w:t xml:space="preserve">7.7 </w:t>
      </w:r>
      <w:r>
        <w:rPr>
          <w:rFonts w:hint="eastAsia"/>
        </w:rPr>
        <w:t>疫情报告</w:t>
      </w:r>
    </w:p>
    <w:p>
      <w:pPr>
        <w:spacing w:line="360" w:lineRule="auto"/>
        <w:ind w:firstLine="420" w:firstLineChars="200"/>
      </w:pPr>
      <w:r>
        <w:rPr>
          <w:rFonts w:hint="eastAsia"/>
        </w:rPr>
        <w:t>发生或疑似动物疫情时，应及时向当地动物防疫机构报告，并配合动物防疫机构进行诊断、处理。</w:t>
      </w:r>
    </w:p>
    <w:p>
      <w:pPr>
        <w:spacing w:line="360" w:lineRule="auto"/>
      </w:pPr>
      <w:r>
        <w:t xml:space="preserve">7.8 </w:t>
      </w:r>
      <w:r>
        <w:rPr>
          <w:rFonts w:hint="eastAsia"/>
        </w:rPr>
        <w:t xml:space="preserve">废弃物处理 </w:t>
      </w:r>
    </w:p>
    <w:p>
      <w:pPr>
        <w:spacing w:line="360" w:lineRule="auto"/>
      </w:pPr>
      <w:r>
        <w:rPr>
          <w:rFonts w:hint="eastAsia"/>
        </w:rPr>
        <w:t>7</w:t>
      </w:r>
      <w:r>
        <w:t xml:space="preserve">.8.1 </w:t>
      </w:r>
      <w:r>
        <w:rPr>
          <w:rFonts w:hint="eastAsia"/>
        </w:rPr>
        <w:t>粪便经生物发酵或堆肥处理后，排放必须符合G</w:t>
      </w:r>
      <w:r>
        <w:t>B 18596</w:t>
      </w:r>
      <w:r>
        <w:rPr>
          <w:rFonts w:hint="eastAsia"/>
        </w:rPr>
        <w:t>和N</w:t>
      </w:r>
      <w:r>
        <w:t>Y/T 1168</w:t>
      </w:r>
      <w:r>
        <w:rPr>
          <w:rFonts w:hint="eastAsia"/>
        </w:rPr>
        <w:t>的规定。</w:t>
      </w:r>
    </w:p>
    <w:p>
      <w:pPr>
        <w:spacing w:line="360" w:lineRule="auto"/>
      </w:pPr>
      <w:r>
        <w:t xml:space="preserve">7.8.2 </w:t>
      </w:r>
      <w:r>
        <w:rPr>
          <w:rFonts w:hint="eastAsia"/>
        </w:rPr>
        <w:t>所有病死羊只按照《病死及病害动物无害化处理技术规范》的规定进行处理。</w:t>
      </w:r>
    </w:p>
    <w:p>
      <w:pPr>
        <w:spacing w:line="360" w:lineRule="auto"/>
        <w:rPr>
          <w:b/>
          <w:bCs/>
        </w:rPr>
      </w:pPr>
      <w:r>
        <w:rPr>
          <w:b/>
          <w:bCs/>
        </w:rPr>
        <w:t xml:space="preserve">8 </w:t>
      </w:r>
      <w:r>
        <w:rPr>
          <w:rFonts w:hint="eastAsia"/>
          <w:b/>
          <w:bCs/>
        </w:rPr>
        <w:t>档案管理</w:t>
      </w:r>
    </w:p>
    <w:p>
      <w:pPr>
        <w:spacing w:line="360" w:lineRule="auto"/>
      </w:pPr>
      <w:r>
        <w:t xml:space="preserve">8.1 </w:t>
      </w:r>
      <w:r>
        <w:rPr>
          <w:rFonts w:hint="eastAsia"/>
        </w:rPr>
        <w:t>做好投入品购买和使用记录，消毒、运输、防疫等记录。</w:t>
      </w:r>
    </w:p>
    <w:p>
      <w:pPr>
        <w:spacing w:line="360" w:lineRule="auto"/>
      </w:pPr>
      <w:r>
        <w:t xml:space="preserve">8.2 </w:t>
      </w:r>
      <w:r>
        <w:rPr>
          <w:rFonts w:hint="eastAsia"/>
        </w:rPr>
        <w:t>相关记录应保存2年以上。</w:t>
      </w:r>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2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46260FA"/>
    <w:multiLevelType w:val="multilevel"/>
    <w:tmpl w:val="646260FA"/>
    <w:lvl w:ilvl="0" w:tentative="0">
      <w:start w:val="1"/>
      <w:numFmt w:val="decimal"/>
      <w:pStyle w:val="3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1"/>
      <w:suff w:val="nothing"/>
      <w:lvlText w:val="%1%2　"/>
      <w:lvlJc w:val="left"/>
      <w:pPr>
        <w:ind w:left="0" w:firstLine="0"/>
      </w:pPr>
      <w:rPr>
        <w:rFonts w:hint="eastAsia" w:ascii="黑体" w:eastAsia="黑体"/>
        <w:b w:val="0"/>
        <w:i w:val="0"/>
        <w:sz w:val="21"/>
      </w:rPr>
    </w:lvl>
    <w:lvl w:ilvl="2" w:tentative="0">
      <w:start w:val="1"/>
      <w:numFmt w:val="decimal"/>
      <w:pStyle w:val="3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38"/>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3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kOTkwNGVjZmI0NzFhNTg3ZWI2ZjhlZjNiYzU5OWUifQ=="/>
  </w:docVars>
  <w:rsids>
    <w:rsidRoot w:val="00EE133A"/>
    <w:rsid w:val="0003048D"/>
    <w:rsid w:val="00033562"/>
    <w:rsid w:val="000869A1"/>
    <w:rsid w:val="000E60AE"/>
    <w:rsid w:val="000E6F4F"/>
    <w:rsid w:val="000F23FE"/>
    <w:rsid w:val="00121CC0"/>
    <w:rsid w:val="001261BB"/>
    <w:rsid w:val="001A44B2"/>
    <w:rsid w:val="001D44CE"/>
    <w:rsid w:val="00211E1A"/>
    <w:rsid w:val="00241024"/>
    <w:rsid w:val="00291760"/>
    <w:rsid w:val="00297440"/>
    <w:rsid w:val="002A6E07"/>
    <w:rsid w:val="002D4ADA"/>
    <w:rsid w:val="0033011A"/>
    <w:rsid w:val="00373422"/>
    <w:rsid w:val="00384C62"/>
    <w:rsid w:val="003E05B0"/>
    <w:rsid w:val="0044235A"/>
    <w:rsid w:val="0048449D"/>
    <w:rsid w:val="004921C4"/>
    <w:rsid w:val="00497C77"/>
    <w:rsid w:val="004B2D91"/>
    <w:rsid w:val="004D1329"/>
    <w:rsid w:val="004F1E21"/>
    <w:rsid w:val="00522199"/>
    <w:rsid w:val="005D1F74"/>
    <w:rsid w:val="00631B61"/>
    <w:rsid w:val="006A0E42"/>
    <w:rsid w:val="006B2F82"/>
    <w:rsid w:val="006C411C"/>
    <w:rsid w:val="006D4D62"/>
    <w:rsid w:val="006D5C77"/>
    <w:rsid w:val="006E0632"/>
    <w:rsid w:val="00722CDB"/>
    <w:rsid w:val="00724778"/>
    <w:rsid w:val="00730AEE"/>
    <w:rsid w:val="00762A22"/>
    <w:rsid w:val="007A526F"/>
    <w:rsid w:val="008014A3"/>
    <w:rsid w:val="00893E66"/>
    <w:rsid w:val="008D2347"/>
    <w:rsid w:val="008F0297"/>
    <w:rsid w:val="0090030C"/>
    <w:rsid w:val="0093111F"/>
    <w:rsid w:val="0095705F"/>
    <w:rsid w:val="0097644B"/>
    <w:rsid w:val="009A14C9"/>
    <w:rsid w:val="009A5F4D"/>
    <w:rsid w:val="00A31F21"/>
    <w:rsid w:val="00A67B7E"/>
    <w:rsid w:val="00AE509D"/>
    <w:rsid w:val="00B01969"/>
    <w:rsid w:val="00B04D74"/>
    <w:rsid w:val="00B405F3"/>
    <w:rsid w:val="00B57CC5"/>
    <w:rsid w:val="00B85932"/>
    <w:rsid w:val="00BD5EAF"/>
    <w:rsid w:val="00BE38F3"/>
    <w:rsid w:val="00C62B85"/>
    <w:rsid w:val="00C76D77"/>
    <w:rsid w:val="00D07D4D"/>
    <w:rsid w:val="00D16420"/>
    <w:rsid w:val="00DE68B5"/>
    <w:rsid w:val="00E01608"/>
    <w:rsid w:val="00E2604B"/>
    <w:rsid w:val="00E87EAB"/>
    <w:rsid w:val="00E97437"/>
    <w:rsid w:val="00EA2471"/>
    <w:rsid w:val="00EE133A"/>
    <w:rsid w:val="00EE6FE6"/>
    <w:rsid w:val="00F26A8C"/>
    <w:rsid w:val="00F279F9"/>
    <w:rsid w:val="00F5081C"/>
    <w:rsid w:val="00FA7C67"/>
    <w:rsid w:val="00FF568E"/>
    <w:rsid w:val="00FF6FED"/>
    <w:rsid w:val="1E2738A2"/>
    <w:rsid w:val="427301AE"/>
    <w:rsid w:val="57CB5082"/>
    <w:rsid w:val="74DA7F06"/>
    <w:rsid w:val="7EBC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rPr>
      <w:rFonts w:ascii="宋体"/>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99"/>
    <w:rPr>
      <w:rFonts w:ascii="宋体" w:hAnsi="Times New Roman" w:eastAsia="宋体"/>
      <w:color w:val="auto"/>
      <w:spacing w:val="0"/>
      <w:w w:val="100"/>
      <w:position w:val="0"/>
      <w:sz w:val="21"/>
      <w:u w:val="none"/>
      <w:vertAlign w:val="baseline"/>
    </w:rPr>
  </w:style>
  <w:style w:type="character" w:customStyle="1" w:styleId="10">
    <w:name w:val="日期 字符"/>
    <w:basedOn w:val="8"/>
    <w:link w:val="2"/>
    <w:semiHidden/>
    <w:qFormat/>
    <w:uiPriority w:val="99"/>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6">
    <w:name w:val="标准文件_文件编号"/>
    <w:basedOn w:val="1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替换文件编号"/>
    <w:basedOn w:val="16"/>
    <w:qFormat/>
    <w:uiPriority w:val="0"/>
    <w:pPr>
      <w:spacing w:before="57"/>
    </w:pPr>
    <w:rPr>
      <w:sz w:val="21"/>
    </w:rPr>
  </w:style>
  <w:style w:type="paragraph" w:customStyle="1" w:styleId="19">
    <w:name w:val="标准文件_文件名称"/>
    <w:basedOn w:val="17"/>
    <w:next w:val="1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1">
    <w:name w:val="其他发布日期"/>
    <w:basedOn w:val="22"/>
    <w:qFormat/>
    <w:uiPriority w:val="0"/>
    <w:pPr>
      <w:framePr w:w="3997" w:h="471" w:hRule="exact" w:hSpace="0" w:vSpace="181" w:wrap="around" w:vAnchor="page" w:hAnchor="page" w:x="1419" w:y="14097"/>
    </w:pPr>
  </w:style>
  <w:style w:type="paragraph" w:customStyle="1" w:styleId="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3">
    <w:name w:val="其他实施日期"/>
    <w:basedOn w:val="24"/>
    <w:qFormat/>
    <w:uiPriority w:val="0"/>
    <w:pPr>
      <w:framePr w:w="3997" w:h="471" w:hRule="exact" w:vSpace="181" w:wrap="around" w:vAnchor="page" w:hAnchor="page" w:x="7089" w:y="14097"/>
    </w:pPr>
  </w:style>
  <w:style w:type="paragraph" w:customStyle="1" w:styleId="24">
    <w:name w:val="实施日期"/>
    <w:basedOn w:val="22"/>
    <w:qFormat/>
    <w:uiPriority w:val="0"/>
    <w:pPr>
      <w:framePr w:hSpace="0" w:wrap="around" w:xAlign="right"/>
      <w:jc w:val="right"/>
    </w:pPr>
  </w:style>
  <w:style w:type="paragraph" w:customStyle="1" w:styleId="25">
    <w:name w:val="其他发布部门"/>
    <w:basedOn w:val="26"/>
    <w:qFormat/>
    <w:uiPriority w:val="0"/>
    <w:pPr>
      <w:framePr w:wrap="around"/>
      <w:spacing w:line="0" w:lineRule="atLeast"/>
    </w:pPr>
    <w:rPr>
      <w:rFonts w:ascii="黑体" w:eastAsia="黑体"/>
      <w:b w:val="0"/>
    </w:rPr>
  </w:style>
  <w:style w:type="paragraph" w:customStyle="1" w:styleId="26">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7">
    <w:name w:val="发布"/>
    <w:basedOn w:val="8"/>
    <w:qFormat/>
    <w:uiPriority w:val="0"/>
    <w:rPr>
      <w:rFonts w:ascii="黑体" w:eastAsia="黑体"/>
      <w:spacing w:val="85"/>
      <w:w w:val="100"/>
      <w:position w:val="3"/>
      <w:sz w:val="28"/>
      <w:szCs w:val="28"/>
    </w:rPr>
  </w:style>
  <w:style w:type="paragraph" w:customStyle="1" w:styleId="28">
    <w:name w:val="标准文件_目录标题"/>
    <w:basedOn w:val="1"/>
    <w:qFormat/>
    <w:uiPriority w:val="0"/>
    <w:pPr>
      <w:spacing w:after="150" w:afterLines="150" w:line="240" w:lineRule="auto"/>
      <w:jc w:val="center"/>
    </w:pPr>
    <w:rPr>
      <w:rFonts w:ascii="黑体" w:eastAsia="黑体"/>
      <w:sz w:val="32"/>
    </w:rPr>
  </w:style>
  <w:style w:type="paragraph" w:customStyle="1" w:styleId="29">
    <w:name w:val="标准文件_前言、引言标题"/>
    <w:next w:val="1"/>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3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31">
    <w:name w:val="标准文件_章标题"/>
    <w:next w:val="1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2">
    <w:name w:val="段"/>
    <w:basedOn w:val="1"/>
    <w:qFormat/>
    <w:uiPriority w:val="0"/>
    <w:pPr>
      <w:widowControl/>
      <w:autoSpaceDE w:val="0"/>
      <w:autoSpaceDN w:val="0"/>
      <w:adjustRightInd/>
      <w:spacing w:line="240" w:lineRule="auto"/>
      <w:ind w:firstLine="420" w:firstLineChars="200"/>
    </w:pPr>
    <w:rPr>
      <w:rFonts w:ascii="宋体" w:hAnsi="宋体"/>
      <w:kern w:val="0"/>
    </w:rPr>
  </w:style>
  <w:style w:type="paragraph" w:customStyle="1" w:styleId="33">
    <w:name w:val="一级条标题"/>
    <w:basedOn w:val="1"/>
    <w:next w:val="32"/>
    <w:qFormat/>
    <w:uiPriority w:val="0"/>
    <w:pPr>
      <w:widowControl/>
      <w:adjustRightInd/>
      <w:spacing w:beforeLines="50" w:after="100" w:afterAutospacing="1" w:line="240" w:lineRule="auto"/>
      <w:jc w:val="left"/>
      <w:outlineLvl w:val="2"/>
    </w:pPr>
    <w:rPr>
      <w:rFonts w:ascii="黑体" w:eastAsia="黑体"/>
      <w:kern w:val="0"/>
    </w:rPr>
  </w:style>
  <w:style w:type="paragraph" w:customStyle="1" w:styleId="34">
    <w:name w:val="标准文件_一级条标题"/>
    <w:basedOn w:val="31"/>
    <w:next w:val="17"/>
    <w:qFormat/>
    <w:uiPriority w:val="0"/>
    <w:pPr>
      <w:numPr>
        <w:ilvl w:val="2"/>
      </w:numPr>
      <w:spacing w:before="50" w:beforeLines="50" w:after="50" w:afterLines="50"/>
      <w:outlineLvl w:val="1"/>
    </w:pPr>
  </w:style>
  <w:style w:type="paragraph" w:customStyle="1" w:styleId="35">
    <w:name w:val="标准文件_一级无标题"/>
    <w:basedOn w:val="34"/>
    <w:qFormat/>
    <w:uiPriority w:val="0"/>
    <w:pPr>
      <w:spacing w:before="0" w:beforeLines="0" w:after="0" w:afterLines="0"/>
      <w:outlineLvl w:val="9"/>
    </w:pPr>
    <w:rPr>
      <w:rFonts w:ascii="宋体" w:eastAsia="宋体"/>
    </w:rPr>
  </w:style>
  <w:style w:type="paragraph" w:customStyle="1" w:styleId="36">
    <w:name w:val="标准文件_正文表标题"/>
    <w:next w:val="17"/>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7">
    <w:name w:val="标准文件_注："/>
    <w:next w:val="17"/>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38">
    <w:name w:val="标准文件_二级条标题"/>
    <w:next w:val="1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9">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40">
    <w:name w:val="标准文件_页眉偶数页"/>
    <w:basedOn w:val="41"/>
    <w:next w:val="1"/>
    <w:qFormat/>
    <w:uiPriority w:val="0"/>
    <w:pPr>
      <w:tabs>
        <w:tab w:val="center" w:pos="4154"/>
        <w:tab w:val="right" w:pos="8306"/>
      </w:tabs>
      <w:jc w:val="left"/>
    </w:pPr>
  </w:style>
  <w:style w:type="paragraph" w:customStyle="1" w:styleId="4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3">
    <w:name w:val="标准文件_页脚偶数页"/>
    <w:qFormat/>
    <w:uiPriority w:val="0"/>
    <w:pPr>
      <w:ind w:left="198"/>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ca0bea-2e2f-4993-86be-620c0a607f6f}"/>
        <w:style w:val=""/>
        <w:category>
          <w:name w:val="常规"/>
          <w:gallery w:val="placeholder"/>
        </w:category>
        <w:types>
          <w:type w:val="bbPlcHdr"/>
        </w:types>
        <w:behaviors>
          <w:behavior w:val="content"/>
        </w:behaviors>
        <w:description w:val=""/>
        <w:guid w:val="{d8ca0bea-2e2f-4993-86be-620c0a607f6f}"/>
      </w:docPartPr>
      <w:docPartBody>
        <w:p>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unhideWhenUsed="0" w:uiPriority="99" w:name="Placeholder Text"/>
  </w:latentStyles>
  <w:style w:type="character" w:default="1" w:styleId="1">
    <w:name w:val="Default Paragraph Font"/>
    <w:semiHidden/>
    <w:unhideWhenUsed/>
    <w:uiPriority w:val="1"/>
  </w:style>
  <w:style w:type="paragraph" w:customStyle="1" w:styleId="2">
    <w:name w:val="FEA654E91D3447CC993B54C934374AE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uiPriority w:val="99"/>
    <w:rPr>
      <w:color w:val="808080"/>
    </w:rPr>
  </w:style>
  <w:style w:type="paragraph" w:customStyle="1" w:styleId="4">
    <w:name w:val="C4778E427A1044A382623FD8D74AD7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869220CAC34F41D6AB456BFA114B6DA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2510</Words>
  <Characters>2881</Characters>
  <Lines>17</Lines>
  <Paragraphs>4</Paragraphs>
  <TotalTime>1</TotalTime>
  <ScaleCrop>false</ScaleCrop>
  <LinksUpToDate>false</LinksUpToDate>
  <CharactersWithSpaces>3073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2023-03-13T07:28:00Z</dcterms:created>
  <dc:creator>zhangshuzhi521@126.com</dc:creator>
  <cp:lastModifiedBy>dell</cp:lastModifiedBy>
  <dcterms:modified xsi:type="dcterms:W3CDTF">2023-03-15T01:30:28Z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C87A8C09AF0548858DF644E84C007553</vt:lpwstr>
  </property>
</Properties>
</file>