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65.150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B 5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27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>
            <w:pPr>
              <w:pStyle w:val="49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21</w:t>
            </w:r>
            <w:r>
              <w:fldChar w:fldCharType="end"/>
            </w:r>
            <w:bookmarkEnd w:id="3"/>
          </w:p>
        </w:tc>
      </w:tr>
    </w:tbl>
    <w:p>
      <w:pPr>
        <w:pStyle w:val="50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辽宁省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>
      <w:pPr>
        <w:pStyle w:val="195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  <w:lang w:val="fr-FR"/>
        </w:rPr>
        <w:t>21</w:t>
      </w:r>
      <w:r>
        <w:rPr>
          <w:lang w:val="fr-FR"/>
        </w:rPr>
        <w:t>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</w:p>
    <w:p>
      <w:pPr>
        <w:pStyle w:val="196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97"/>
        <w:framePr w:h="6974" w:hRule="exact" w:wrap="around" w:x="1419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凡纳滨对虾苗种</w:t>
      </w:r>
    </w:p>
    <w:p>
      <w:pPr>
        <w:pStyle w:val="197"/>
        <w:framePr w:h="6974" w:hRule="exact" w:wrap="around" w:x="1419" w:anchorLock="1"/>
      </w:pPr>
      <w:r>
        <w:rPr>
          <w:rFonts w:hint="eastAsia"/>
        </w:rPr>
        <w:t>淡化培育技术规</w:t>
      </w:r>
      <w:r>
        <w:rPr>
          <w:rFonts w:hint="eastAsia"/>
          <w:lang w:eastAsia="zh-CN"/>
        </w:rPr>
        <w:t>范</w:t>
      </w:r>
      <w:r>
        <w:fldChar w:fldCharType="end"/>
      </w:r>
      <w:bookmarkEnd w:id="9"/>
    </w:p>
    <w:p>
      <w:pPr>
        <w:framePr w:w="9639" w:h="6974" w:hRule="exact" w:wrap="around" w:vAnchor="page" w:hAnchor="page" w:x="1419" w:y="6408" w:anchorLock="1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>Technical sepcification for seed breeding desalination of</w:t>
      </w:r>
      <w:r>
        <w:rPr>
          <w:rFonts w:hint="eastAsia" w:eastAsia="黑体"/>
          <w:szCs w:val="28"/>
          <w:lang w:val="en-US" w:eastAsia="zh-CN"/>
        </w:rPr>
        <w:t xml:space="preserve"> </w:t>
      </w:r>
      <w:r>
        <w:rPr>
          <w:rFonts w:hint="eastAsia" w:eastAsia="黑体"/>
          <w:szCs w:val="28"/>
        </w:rPr>
        <w:t>Litopenaeus vannamei</w:t>
      </w:r>
      <w:r>
        <w:rPr>
          <w:rFonts w:eastAsia="黑体"/>
          <w:szCs w:val="28"/>
        </w:rPr>
        <w:fldChar w:fldCharType="end"/>
      </w:r>
      <w:bookmarkEnd w:id="10"/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4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rFonts w:hint="eastAsia"/>
          <w:sz w:val="21"/>
          <w:szCs w:val="28"/>
        </w:rPr>
        <w:t>本稿完成日期：2023.0</w:t>
      </w:r>
      <w:r>
        <w:rPr>
          <w:rFonts w:hint="eastAsia"/>
          <w:sz w:val="21"/>
          <w:szCs w:val="28"/>
          <w:lang w:val="en-US" w:eastAsia="zh-CN"/>
        </w:rPr>
        <w:t>9</w:t>
      </w:r>
      <w:r>
        <w:rPr>
          <w:rFonts w:hint="eastAsia"/>
          <w:sz w:val="21"/>
          <w:szCs w:val="28"/>
        </w:rPr>
        <w:t>.01</w:t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>
      <w:pPr>
        <w:pStyle w:val="193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</w:p>
    <w:p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51"/>
        <w:framePr w:h="584" w:hRule="exact" w:hSpace="181" w:vSpace="181" w:wrap="around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辽宁省市场监督管理局</w:t>
      </w:r>
      <w:r>
        <w:rPr>
          <w:rFonts w:hAnsi="黑体"/>
          <w:w w:val="100"/>
          <w:sz w:val="28"/>
        </w:rPr>
        <w:fldChar w:fldCharType="end"/>
      </w:r>
      <w:bookmarkEnd w:id="19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89"/>
        <w:spacing w:after="468"/>
      </w:pPr>
      <w:bookmarkStart w:id="20" w:name="BookMark2"/>
      <w:r>
        <w:rPr>
          <w:spacing w:val="320"/>
        </w:rPr>
        <w:t>前</w:t>
      </w:r>
      <w:r>
        <w:t>言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本标准按照</w:t>
      </w:r>
      <w:r>
        <w:t> </w:t>
      </w:r>
      <w:r>
        <w:rPr>
          <w:rFonts w:hint="eastAsia"/>
        </w:rPr>
        <w:t>GB/T</w:t>
      </w:r>
      <w:r>
        <w:t> </w:t>
      </w:r>
      <w:r>
        <w:rPr>
          <w:rFonts w:hint="eastAsia"/>
        </w:rPr>
        <w:t>1.1</w:t>
      </w:r>
      <w:r>
        <w:t> </w:t>
      </w:r>
      <w:r>
        <w:rPr>
          <w:rFonts w:hint="eastAsia"/>
        </w:rPr>
        <w:t>标准化工作导则起草。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本标准由辽宁省农业农村厅提出。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本标准由辽宁省农业农村厅归口。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本标准起草单位：中国水产科学研究院营口增殖实验站、营口市农业农村综合发展服务中心、辽宁天时水产养殖有限公司。</w:t>
      </w:r>
    </w:p>
    <w:p>
      <w:pPr>
        <w:pStyle w:val="56"/>
        <w:ind w:firstLine="420"/>
        <w:rPr>
          <w:rFonts w:hint="default" w:eastAsia="宋体"/>
          <w:lang w:val="en-US" w:eastAsia="zh-CN"/>
        </w:rPr>
        <w:sectPr>
          <w:headerReference r:id="rId11" w:type="default"/>
          <w:footerReference r:id="rId13" w:type="default"/>
          <w:headerReference r:id="rId12" w:type="even"/>
          <w:pgSz w:w="11906" w:h="16838"/>
          <w:pgMar w:top="2410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本标准起草人： 李耕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申旭东、李忠红、陈明康、任传麒、宋松伟、马波、蔡忠璐、王连勇、郝咏芳、冯新雨、徐绍轩、李迎、姚继标、童伟国</w:t>
      </w:r>
    </w:p>
    <w:bookmarkEnd w:id="20"/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21" w:name="BookMark4"/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F25DF69C569C46AD82E17CE97BF59347"/>
        </w:placeholder>
      </w:sdtPr>
      <w:sdtContent>
        <w:p>
          <w:pPr>
            <w:pStyle w:val="177"/>
            <w:spacing w:before="312" w:beforeLines="100" w:after="686" w:afterLines="220"/>
          </w:pPr>
          <w:bookmarkStart w:id="22" w:name="StandardName"/>
          <w:bookmarkStart w:id="23" w:name="NEW_STAND_NAME"/>
          <w:r>
            <w:rPr>
              <w:rFonts w:hint="eastAsia"/>
            </w:rPr>
            <w:t>凡纳滨对虾苗种淡化培育技术规</w:t>
          </w:r>
          <w:bookmarkEnd w:id="22"/>
          <w:r>
            <w:rPr>
              <w:rFonts w:hint="eastAsia"/>
              <w:lang w:eastAsia="zh-CN"/>
            </w:rPr>
            <w:t>范</w:t>
          </w:r>
        </w:p>
      </w:sdtContent>
    </w:sdt>
    <w:bookmarkEnd w:id="23"/>
    <w:p>
      <w:pPr>
        <w:pStyle w:val="104"/>
        <w:spacing w:before="312" w:after="312"/>
      </w:pPr>
      <w:bookmarkStart w:id="24" w:name="_Toc24884218"/>
      <w:bookmarkStart w:id="25" w:name="_Toc26986771"/>
      <w:bookmarkStart w:id="26" w:name="_Toc26986530"/>
      <w:bookmarkStart w:id="27" w:name="_Toc24884211"/>
      <w:bookmarkStart w:id="28" w:name="_Toc26648465"/>
      <w:bookmarkStart w:id="29" w:name="_Toc26718930"/>
      <w:bookmarkStart w:id="30" w:name="_Toc17233333"/>
      <w:bookmarkStart w:id="31" w:name="_Toc17233325"/>
      <w:r>
        <w:rPr>
          <w:rFonts w:hint="eastAsia"/>
        </w:rPr>
        <w:t>范围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Style w:val="56"/>
        <w:ind w:firstLine="420"/>
        <w:rPr>
          <w:rFonts w:hint="eastAsia"/>
        </w:rPr>
      </w:pPr>
      <w:bookmarkStart w:id="32" w:name="_Toc24884219"/>
      <w:bookmarkStart w:id="33" w:name="_Toc26648466"/>
      <w:bookmarkStart w:id="34" w:name="_Toc24884212"/>
      <w:bookmarkStart w:id="35" w:name="_Toc17233334"/>
      <w:bookmarkStart w:id="36" w:name="_Toc17233326"/>
      <w:r>
        <w:rPr>
          <w:rFonts w:hint="eastAsia"/>
        </w:rPr>
        <w:t>本标准规定了凡纳滨对虾苗种淡化培育的环境条件、</w:t>
      </w:r>
      <w:r>
        <w:rPr>
          <w:rFonts w:hint="eastAsia"/>
          <w:lang w:val="en-US" w:eastAsia="zh-CN"/>
        </w:rPr>
        <w:t>育苗设施、池塘准备、车间准备、苗种选择、接苗布池、</w:t>
      </w:r>
      <w:r>
        <w:rPr>
          <w:rFonts w:hint="eastAsia"/>
        </w:rPr>
        <w:t>淡化培育、病害防控、</w:t>
      </w:r>
      <w:r>
        <w:rPr>
          <w:rFonts w:hint="eastAsia"/>
          <w:lang w:val="en-US" w:eastAsia="zh-CN"/>
        </w:rPr>
        <w:t>生产记录、出池销售、运输</w:t>
      </w:r>
      <w:r>
        <w:rPr>
          <w:rFonts w:hint="eastAsia"/>
        </w:rPr>
        <w:t>等技术要求。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本标准适用于辽宁省凡纳滨对虾苗种淡化培育。</w:t>
      </w:r>
    </w:p>
    <w:p>
      <w:pPr>
        <w:pStyle w:val="104"/>
        <w:spacing w:before="312" w:after="312"/>
      </w:pPr>
      <w:bookmarkStart w:id="37" w:name="_Toc26718931"/>
      <w:bookmarkStart w:id="38" w:name="_Toc26986772"/>
      <w:bookmarkStart w:id="39" w:name="_Toc26986531"/>
      <w:r>
        <w:rPr>
          <w:rFonts w:hint="eastAsia"/>
        </w:rPr>
        <w:t>规范性引用文件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pStyle w:val="56"/>
        <w:ind w:firstLine="420"/>
        <w:rPr>
          <w:rFonts w:hint="eastAsia"/>
          <w:lang w:eastAsia="zh-CN"/>
        </w:rPr>
      </w:pPr>
      <w:r>
        <w:rPr>
          <w:rFonts w:hint="eastAsia"/>
        </w:rPr>
        <w:t xml:space="preserve">GB/T </w:t>
      </w:r>
      <w:r>
        <w:rPr>
          <w:rFonts w:hint="eastAsia"/>
          <w:lang w:val="en-US" w:eastAsia="zh-CN"/>
        </w:rPr>
        <w:t>22919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水产配合饲料 第5部分：南美白对虾配合饲料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NY 5051　无公害食品　淡水养殖用水水质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NY 505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　无公害食品　</w:t>
      </w:r>
      <w:r>
        <w:rPr>
          <w:rFonts w:hint="eastAsia"/>
          <w:lang w:val="en-US" w:eastAsia="zh-CN"/>
        </w:rPr>
        <w:t>海</w:t>
      </w:r>
      <w:r>
        <w:rPr>
          <w:rFonts w:hint="eastAsia"/>
        </w:rPr>
        <w:t>水养殖用水水质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NY 5072　无公害食品　渔用配合饲料安全限量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SC/T 9101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淡水池塘养殖水排放要求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SC/T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9401 水生生物增殖放流技术规程</w:t>
      </w:r>
    </w:p>
    <w:p>
      <w:pPr>
        <w:pStyle w:val="56"/>
        <w:ind w:firstLine="420"/>
        <w:rPr>
          <w:rFonts w:hint="eastAsia"/>
        </w:rPr>
      </w:pPr>
      <w:r>
        <w:rPr>
          <w:rFonts w:hint="eastAsia"/>
        </w:rPr>
        <w:t>SC/T 1075 鱼苗、鱼种运输通用技术要求</w:t>
      </w:r>
    </w:p>
    <w:p>
      <w:pPr>
        <w:pStyle w:val="104"/>
        <w:spacing w:before="312" w:after="312"/>
      </w:pPr>
      <w:r>
        <w:rPr>
          <w:rFonts w:hint="eastAsia"/>
          <w:lang w:val="en-US" w:eastAsia="zh-CN"/>
        </w:rPr>
        <w:t>环境与育苗设施</w:t>
      </w: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厂址选择</w:t>
      </w:r>
    </w:p>
    <w:p>
      <w:pPr>
        <w:pStyle w:val="56"/>
        <w:ind w:firstLine="420"/>
        <w:rPr>
          <w:rFonts w:hint="eastAsia"/>
          <w:lang w:val="en-US" w:eastAsia="zh-CN"/>
        </w:rPr>
      </w:pPr>
      <w:r>
        <w:rPr>
          <w:rFonts w:hint="eastAsia"/>
        </w:rPr>
        <w:t>选择</w:t>
      </w:r>
      <w:r>
        <w:rPr>
          <w:rFonts w:hint="eastAsia"/>
          <w:lang w:val="en-US" w:eastAsia="zh-CN"/>
        </w:rPr>
        <w:t>周边</w:t>
      </w:r>
      <w:r>
        <w:rPr>
          <w:rFonts w:hint="eastAsia"/>
        </w:rPr>
        <w:t>环境安静、水资源充足、无污染源、交通</w:t>
      </w:r>
      <w:r>
        <w:rPr>
          <w:rFonts w:hint="eastAsia"/>
          <w:lang w:val="en-US" w:eastAsia="zh-CN"/>
        </w:rPr>
        <w:t>发达，</w:t>
      </w:r>
      <w:r>
        <w:rPr>
          <w:rFonts w:hint="eastAsia"/>
        </w:rPr>
        <w:t>供电便利的地点，淡水水源符合NY 5051的规定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海水水质符合NY5052 的规定。</w:t>
      </w: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供水系统</w:t>
      </w:r>
    </w:p>
    <w:p>
      <w:pPr>
        <w:pStyle w:val="56"/>
        <w:ind w:firstLine="420"/>
        <w:rPr>
          <w:color w:val="FF0000"/>
        </w:rPr>
      </w:pPr>
      <w:r>
        <w:rPr>
          <w:rFonts w:hint="default"/>
          <w:szCs w:val="21"/>
        </w:rPr>
        <w:t>由蓄水沉淀池、</w:t>
      </w:r>
      <w:r>
        <w:rPr>
          <w:rFonts w:hint="default"/>
          <w:szCs w:val="21"/>
          <w:lang w:val="en-US" w:eastAsia="zh-CN"/>
        </w:rPr>
        <w:t>水泵、</w:t>
      </w:r>
      <w:r>
        <w:rPr>
          <w:rFonts w:hint="default"/>
          <w:szCs w:val="21"/>
        </w:rPr>
        <w:t>进水管道等组成。</w:t>
      </w:r>
      <w:r>
        <w:rPr>
          <w:rFonts w:hint="default"/>
          <w:lang w:val="en-US" w:eastAsia="zh-CN"/>
        </w:rPr>
        <w:t>蓄水沉淀池</w:t>
      </w:r>
      <w:r>
        <w:rPr>
          <w:rFonts w:hint="eastAsia"/>
          <w:lang w:val="en-US" w:eastAsia="zh-CN"/>
        </w:rPr>
        <w:t>不少于2个</w:t>
      </w:r>
      <w:r>
        <w:rPr>
          <w:rFonts w:hint="default"/>
          <w:lang w:val="en-US" w:eastAsia="zh-CN"/>
        </w:rPr>
        <w:t>，单池水体</w:t>
      </w:r>
      <w:r>
        <w:rPr>
          <w:rFonts w:hint="eastAsia"/>
          <w:lang w:val="en-US" w:eastAsia="zh-CN"/>
        </w:rPr>
        <w:t>不少于</w:t>
      </w:r>
      <w:r>
        <w:rPr>
          <w:rFonts w:hint="default"/>
          <w:lang w:val="en-US" w:eastAsia="zh-CN"/>
        </w:rPr>
        <w:t>车间水体5倍，无渗漏，保水性好。</w:t>
      </w:r>
    </w:p>
    <w:p>
      <w:pPr>
        <w:pStyle w:val="105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供电系统</w:t>
      </w:r>
    </w:p>
    <w:p>
      <w:pPr>
        <w:pStyle w:val="56"/>
        <w:ind w:firstLine="420"/>
      </w:pPr>
      <w:r>
        <w:rPr>
          <w:rFonts w:hint="eastAsia"/>
          <w:lang w:val="en-US" w:eastAsia="zh-CN"/>
        </w:rPr>
        <w:t>满足车间日常使用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包括供气系统，供热系统，以及水泵等设备。</w:t>
      </w:r>
      <w:r>
        <w:rPr>
          <w:rFonts w:hint="default"/>
        </w:rPr>
        <w:t>按</w:t>
      </w:r>
      <w:r>
        <w:rPr>
          <w:rFonts w:hint="eastAsia"/>
          <w:lang w:val="en-US" w:eastAsia="zh-CN"/>
        </w:rPr>
        <w:t>总</w:t>
      </w:r>
      <w:r>
        <w:rPr>
          <w:rFonts w:hint="default"/>
        </w:rPr>
        <w:t>功率的80%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配备发电机</w:t>
      </w:r>
      <w:r>
        <w:rPr>
          <w:rFonts w:hint="default"/>
          <w:lang w:eastAsia="zh-CN"/>
        </w:rPr>
        <w:t>。</w:t>
      </w:r>
    </w:p>
    <w:p>
      <w:pPr>
        <w:pStyle w:val="105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供气系统</w:t>
      </w:r>
    </w:p>
    <w:p>
      <w:pPr>
        <w:pStyle w:val="56"/>
        <w:ind w:firstLine="420"/>
        <w:rPr>
          <w:rFonts w:hint="default"/>
        </w:rPr>
      </w:pPr>
      <w:r>
        <w:rPr>
          <w:rFonts w:hint="default"/>
          <w:lang w:val="en-US" w:eastAsia="zh-CN"/>
        </w:rPr>
        <w:t>采用</w:t>
      </w:r>
      <w:r>
        <w:rPr>
          <w:rFonts w:hint="eastAsia"/>
          <w:lang w:val="en-US" w:eastAsia="zh-CN"/>
        </w:rPr>
        <w:t>永磁变频式螺杆空气压缩机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以</w:t>
      </w:r>
      <w:r>
        <w:rPr>
          <w:rFonts w:hint="default"/>
          <w:lang w:val="en-US" w:eastAsia="zh-CN"/>
        </w:rPr>
        <w:t>15</w:t>
      </w:r>
      <w:r>
        <w:t> </w:t>
      </w:r>
      <w:r>
        <w:rPr>
          <w:rFonts w:hint="default"/>
          <w:lang w:val="en-US" w:eastAsia="zh-CN"/>
        </w:rPr>
        <w:t>w/m³配备功率，并留有备用风机</w:t>
      </w:r>
      <w:r>
        <w:rPr>
          <w:rFonts w:hint="default"/>
        </w:rPr>
        <w:t>。</w:t>
      </w:r>
    </w:p>
    <w:p>
      <w:pPr>
        <w:pStyle w:val="105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供热系统</w:t>
      </w:r>
    </w:p>
    <w:p>
      <w:pPr>
        <w:pStyle w:val="56"/>
        <w:ind w:firstLine="420"/>
      </w:pPr>
      <w:r>
        <w:rPr>
          <w:rFonts w:hint="eastAsia"/>
          <w:lang w:val="en-US" w:eastAsia="zh-CN"/>
        </w:rPr>
        <w:t>采用天然气锅炉（每1000</w:t>
      </w:r>
      <w:r>
        <w:rPr>
          <w:rFonts w:hint="eastAsia"/>
        </w:rPr>
        <w:t> </w:t>
      </w:r>
      <w:r>
        <w:rPr>
          <w:rFonts w:hint="eastAsia"/>
          <w:lang w:val="en-US" w:eastAsia="zh-CN"/>
        </w:rPr>
        <w:t>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水体配备天然气锅炉容量不少于2t）或空气源热泵（每1000 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水体配备空气源热泵功率不少于20.5</w:t>
      </w:r>
      <w:r>
        <w:rPr>
          <w:rFonts w:hint="eastAsia"/>
        </w:rPr>
        <w:t> </w:t>
      </w:r>
      <w:r>
        <w:rPr>
          <w:rFonts w:hint="eastAsia"/>
          <w:lang w:val="en-US" w:eastAsia="zh-CN"/>
        </w:rPr>
        <w:t>KW）等辅热设备。</w:t>
      </w:r>
    </w:p>
    <w:p>
      <w:pPr>
        <w:pStyle w:val="10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车间准备</w:t>
      </w: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消毒</w:t>
      </w:r>
    </w:p>
    <w:p>
      <w:pPr>
        <w:pStyle w:val="5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进苗前7 d，使用有效氯为28% ～35% 的漂白粉，以 40 mg/L ～70 mg/L的浓度对蓄水沉淀池消毒48小时后备用。经充分曝气，无余氯残留后使用。</w:t>
      </w: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培育池准备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mg/L</w:t>
      </w:r>
      <w:r>
        <w:rPr>
          <w:rFonts w:hint="eastAsia"/>
          <w:lang w:val="en-US" w:eastAsia="zh-CN"/>
        </w:rPr>
        <w:t xml:space="preserve">～20 </w:t>
      </w:r>
      <w:r>
        <w:rPr>
          <w:rFonts w:hint="default"/>
          <w:lang w:val="en-US" w:eastAsia="zh-CN"/>
        </w:rPr>
        <w:t>mg/L聚维酮碘加洗洁精混合清洗，冲洗干净备用。</w:t>
      </w: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进水管道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%</w:t>
      </w:r>
      <w:r>
        <w:rPr>
          <w:rFonts w:hint="eastAsia"/>
          <w:lang w:val="en-US" w:eastAsia="zh-CN"/>
        </w:rPr>
        <w:t xml:space="preserve"> ～10</w:t>
      </w:r>
      <w:r>
        <w:rPr>
          <w:rFonts w:hint="default"/>
          <w:lang w:val="en-US" w:eastAsia="zh-CN"/>
        </w:rPr>
        <w:t>%</w:t>
      </w:r>
      <w:r>
        <w:rPr>
          <w:rFonts w:hint="eastAsia"/>
          <w:lang w:val="en-US" w:eastAsia="zh-CN"/>
        </w:rPr>
        <w:t xml:space="preserve"> 氢氧化钠溶液或8</w:t>
      </w:r>
      <w:r>
        <w:rPr>
          <w:rFonts w:hint="default"/>
          <w:lang w:val="en-US" w:eastAsia="zh-CN"/>
        </w:rPr>
        <w:t>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mg/L</w:t>
      </w:r>
      <w:r>
        <w:rPr>
          <w:rFonts w:hint="eastAsia"/>
          <w:lang w:val="en-US" w:eastAsia="zh-CN"/>
        </w:rPr>
        <w:t xml:space="preserve">～100 </w:t>
      </w:r>
      <w:r>
        <w:rPr>
          <w:rFonts w:hint="default"/>
          <w:lang w:val="en-US" w:eastAsia="zh-CN"/>
        </w:rPr>
        <w:t>mg/L聚维酮碘浸泡</w:t>
      </w:r>
      <w:r>
        <w:rPr>
          <w:rFonts w:hint="eastAsia"/>
          <w:lang w:val="en-US" w:eastAsia="zh-CN"/>
        </w:rPr>
        <w:t>48 hrs以上</w:t>
      </w:r>
      <w:r>
        <w:rPr>
          <w:rFonts w:hint="default"/>
          <w:lang w:val="en-US" w:eastAsia="zh-CN"/>
        </w:rPr>
        <w:t>，冲洗干净备用。</w:t>
      </w: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加热管道</w:t>
      </w:r>
    </w:p>
    <w:p>
      <w:pPr>
        <w:pStyle w:val="56"/>
      </w:pPr>
      <w:r>
        <w:rPr>
          <w:rFonts w:hint="eastAsia"/>
          <w:lang w:val="en-US" w:eastAsia="zh-CN"/>
        </w:rPr>
        <w:t>辅</w:t>
      </w:r>
      <w:r>
        <w:rPr>
          <w:rFonts w:hint="default"/>
          <w:lang w:val="en-US" w:eastAsia="zh-CN"/>
        </w:rPr>
        <w:t>热系统试运行，及时查找漏点。</w:t>
      </w:r>
    </w:p>
    <w:p>
      <w:pPr>
        <w:pStyle w:val="105"/>
        <w:spacing w:before="156" w:after="156"/>
      </w:pPr>
      <w:r>
        <w:rPr>
          <w:rFonts w:hint="eastAsia"/>
        </w:rPr>
        <w:t>放养前准备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供氧系统试运行，</w:t>
      </w:r>
      <w:r>
        <w:rPr>
          <w:rFonts w:hint="default"/>
          <w:lang w:val="en-US" w:eastAsia="zh-CN"/>
        </w:rPr>
        <w:t>及时查找漏点。</w:t>
      </w:r>
    </w:p>
    <w:p>
      <w:pPr>
        <w:pStyle w:val="104"/>
        <w:spacing w:before="312" w:after="312"/>
      </w:pPr>
      <w:r>
        <w:rPr>
          <w:rFonts w:hint="eastAsia"/>
          <w:lang w:val="en-US" w:eastAsia="zh-CN"/>
        </w:rPr>
        <w:t>苗种选择</w:t>
      </w:r>
    </w:p>
    <w:p>
      <w:pPr>
        <w:pStyle w:val="105"/>
        <w:spacing w:before="156" w:after="156"/>
        <w:rPr>
          <w:rFonts w:hint="eastAsia"/>
        </w:rPr>
      </w:pPr>
      <w:r>
        <w:rPr>
          <w:rFonts w:hint="eastAsia"/>
          <w:lang w:val="en-US" w:eastAsia="zh-CN"/>
        </w:rPr>
        <w:t>苗种选择</w:t>
      </w:r>
    </w:p>
    <w:p>
      <w:pPr>
        <w:pStyle w:val="56"/>
        <w:rPr>
          <w:rFonts w:hint="eastAsia"/>
        </w:rPr>
      </w:pPr>
      <w:r>
        <w:rPr>
          <w:rFonts w:hint="eastAsia"/>
          <w:lang w:val="en-US" w:eastAsia="zh-CN"/>
        </w:rPr>
        <w:t>苗种来自持有效苗种生产许可证的育苗场。</w:t>
      </w:r>
    </w:p>
    <w:p>
      <w:pPr>
        <w:pStyle w:val="105"/>
        <w:spacing w:before="156" w:after="156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选择标准</w:t>
      </w:r>
    </w:p>
    <w:p>
      <w:pPr>
        <w:pStyle w:val="56"/>
      </w:pPr>
      <w:r>
        <w:rPr>
          <w:rFonts w:hint="eastAsia"/>
          <w:lang w:val="en-US" w:eastAsia="zh-CN"/>
        </w:rPr>
        <w:t>P3～P5仔虾，体长0.3cm～0.5cm，活力强，</w:t>
      </w:r>
      <w:r>
        <w:rPr>
          <w:rFonts w:hint="eastAsia"/>
        </w:rPr>
        <w:t>无损伤、无残缺、无畸形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经检验无特定病原体。</w:t>
      </w:r>
    </w:p>
    <w:p>
      <w:pPr>
        <w:pStyle w:val="104"/>
        <w:spacing w:before="312" w:after="312"/>
      </w:pPr>
      <w:r>
        <w:rPr>
          <w:rFonts w:hint="eastAsia"/>
          <w:lang w:val="en-US" w:eastAsia="zh-CN"/>
        </w:rPr>
        <w:t>入池准备</w:t>
      </w:r>
    </w:p>
    <w:p>
      <w:pPr>
        <w:pStyle w:val="105"/>
        <w:bidi w:val="0"/>
      </w:pPr>
      <w:r>
        <w:rPr>
          <w:rFonts w:hint="eastAsia"/>
          <w:lang w:val="en-US" w:eastAsia="zh-CN"/>
        </w:rPr>
        <w:t>盐度调节</w:t>
      </w:r>
    </w:p>
    <w:p>
      <w:pPr>
        <w:pStyle w:val="56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进苗前2 d，用浓缩海水或海水和淡水调节培育池盐度与苗源盐度差值不超过3 g/L。</w:t>
      </w:r>
    </w:p>
    <w:p>
      <w:pPr>
        <w:pStyle w:val="105"/>
        <w:bidi w:val="0"/>
      </w:pPr>
      <w:r>
        <w:rPr>
          <w:rFonts w:hint="eastAsia"/>
          <w:lang w:val="en-US" w:eastAsia="zh-CN"/>
        </w:rPr>
        <w:t>温度调节</w:t>
      </w:r>
    </w:p>
    <w:p>
      <w:pPr>
        <w:pStyle w:val="56"/>
        <w:ind w:firstLine="420"/>
        <w:rPr>
          <w:rFonts w:hint="eastAsia" w:ascii="宋体" w:eastAsia="宋体"/>
          <w:lang w:val="en-US" w:eastAsia="zh-CN"/>
        </w:rPr>
      </w:pPr>
      <w:r>
        <w:rPr>
          <w:rFonts w:hint="eastAsia"/>
          <w:lang w:val="en-US" w:eastAsia="zh-CN"/>
        </w:rPr>
        <w:t>最适入池水温为24</w:t>
      </w:r>
      <w:r>
        <w:rPr>
          <w:rFonts w:hint="eastAsia" w:ascii="宋体" w:eastAsia="宋体"/>
          <w:lang w:val="en-US" w:eastAsia="zh-CN"/>
        </w:rPr>
        <w:t xml:space="preserve"> </w:t>
      </w:r>
      <w:r>
        <w:rPr>
          <w:rFonts w:hint="default" w:ascii="宋体" w:eastAsia="宋体"/>
          <w:lang w:val="en-US" w:eastAsia="zh-CN"/>
        </w:rPr>
        <w:t>℃</w:t>
      </w:r>
      <w:r>
        <w:rPr>
          <w:rFonts w:hint="eastAsia"/>
          <w:lang w:val="en-US" w:eastAsia="zh-CN"/>
        </w:rPr>
        <w:t>，</w:t>
      </w:r>
      <w:r>
        <w:rPr>
          <w:rFonts w:hint="eastAsia" w:ascii="宋体" w:eastAsia="宋体"/>
          <w:lang w:val="en-US" w:eastAsia="zh-CN"/>
        </w:rPr>
        <w:t>虾苗入池之前，控制培育池水温</w:t>
      </w:r>
      <w:r>
        <w:rPr>
          <w:rFonts w:hint="default" w:ascii="宋体" w:eastAsia="宋体"/>
          <w:lang w:val="en-US" w:eastAsia="zh-CN"/>
        </w:rPr>
        <w:t>与苗源</w:t>
      </w:r>
      <w:r>
        <w:rPr>
          <w:rFonts w:hint="eastAsia" w:ascii="宋体" w:eastAsia="宋体"/>
          <w:lang w:val="en-US" w:eastAsia="zh-CN"/>
        </w:rPr>
        <w:t>水</w:t>
      </w:r>
      <w:r>
        <w:rPr>
          <w:rFonts w:hint="default" w:ascii="宋体" w:eastAsia="宋体"/>
          <w:lang w:val="en-US" w:eastAsia="zh-CN"/>
        </w:rPr>
        <w:t>温差值</w:t>
      </w:r>
      <w:r>
        <w:rPr>
          <w:rFonts w:hint="eastAsia"/>
          <w:lang w:val="en-US" w:eastAsia="zh-CN"/>
        </w:rPr>
        <w:t>不超过</w:t>
      </w:r>
      <w:r>
        <w:rPr>
          <w:rFonts w:hint="eastAsia" w:ascii="宋体" w:eastAsia="宋体"/>
          <w:lang w:val="en-US" w:eastAsia="zh-CN"/>
        </w:rPr>
        <w:t xml:space="preserve">3 </w:t>
      </w:r>
      <w:r>
        <w:rPr>
          <w:rFonts w:hint="default" w:ascii="宋体" w:eastAsia="宋体"/>
          <w:lang w:val="en-US" w:eastAsia="zh-CN"/>
        </w:rPr>
        <w:t>℃为宜。</w:t>
      </w:r>
    </w:p>
    <w:p>
      <w:pPr>
        <w:pStyle w:val="105"/>
        <w:bidi w:val="0"/>
      </w:pPr>
      <w:r>
        <w:rPr>
          <w:rFonts w:hint="eastAsia"/>
          <w:lang w:val="en-US" w:eastAsia="zh-CN"/>
        </w:rPr>
        <w:t>缓苗入池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虾苗入池之前，全池泼洒抗应激产品，按说明书剂量使用。将运</w:t>
      </w:r>
      <w:r>
        <w:rPr>
          <w:rFonts w:hint="default"/>
          <w:lang w:val="en-US" w:eastAsia="zh-CN"/>
        </w:rPr>
        <w:t>苗袋漂浮于培育池中，</w:t>
      </w:r>
      <w:r>
        <w:rPr>
          <w:rFonts w:hint="eastAsia"/>
          <w:lang w:val="en-US" w:eastAsia="zh-CN"/>
        </w:rPr>
        <w:t>待</w:t>
      </w:r>
      <w:r>
        <w:rPr>
          <w:rFonts w:hint="default"/>
          <w:lang w:val="en-US" w:eastAsia="zh-CN"/>
        </w:rPr>
        <w:t>袋內水温与培育池温度差值</w:t>
      </w:r>
      <w:r>
        <w:rPr>
          <w:rFonts w:hint="eastAsia"/>
          <w:lang w:val="en-US" w:eastAsia="zh-CN"/>
        </w:rPr>
        <w:t>小于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℃时，打开包装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仔虾入池。</w:t>
      </w:r>
    </w:p>
    <w:p>
      <w:pPr>
        <w:pStyle w:val="105"/>
        <w:bidi w:val="0"/>
      </w:pPr>
      <w:r>
        <w:rPr>
          <w:rFonts w:hint="eastAsia"/>
          <w:lang w:val="en-US" w:eastAsia="zh-CN"/>
        </w:rPr>
        <w:t>布池密度</w:t>
      </w:r>
    </w:p>
    <w:p>
      <w:pPr>
        <w:pStyle w:val="56"/>
        <w:ind w:firstLine="420"/>
      </w:pPr>
      <w:r>
        <w:rPr>
          <w:rFonts w:hint="eastAsia"/>
        </w:rPr>
        <w:t>5 万尾/m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～10 万尾/m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为宜。</w:t>
      </w:r>
    </w:p>
    <w:p>
      <w:pPr>
        <w:pStyle w:val="104"/>
        <w:spacing w:before="312" w:after="312"/>
      </w:pPr>
      <w:r>
        <w:rPr>
          <w:rFonts w:hint="eastAsia"/>
          <w:lang w:val="en-US" w:eastAsia="zh-CN"/>
        </w:rPr>
        <w:t>淡化培育</w:t>
      </w:r>
    </w:p>
    <w:p>
      <w:pPr>
        <w:pStyle w:val="105"/>
        <w:spacing w:before="156"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水质调控</w:t>
      </w:r>
    </w:p>
    <w:p>
      <w:pPr>
        <w:pStyle w:val="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按表3执行。</w:t>
      </w:r>
    </w:p>
    <w:p>
      <w:pPr>
        <w:pStyle w:val="104"/>
        <w:numPr>
          <w:ilvl w:val="1"/>
          <w:numId w:val="0"/>
        </w:numPr>
        <w:spacing w:before="312" w:after="312"/>
        <w:ind w:leftChars="0"/>
        <w:jc w:val="center"/>
        <w:rPr>
          <w:rFonts w:hint="eastAsia"/>
          <w:lang w:val="en-US" w:eastAsia="zh-CN"/>
        </w:rPr>
      </w:pPr>
      <w:bookmarkStart w:id="40" w:name="_GoBack"/>
      <w:bookmarkEnd w:id="40"/>
      <w:r>
        <w:rPr>
          <w:rFonts w:hint="eastAsia"/>
          <w:lang w:val="en-US" w:eastAsia="zh-CN"/>
        </w:rPr>
        <w:t>表1  培育水质要求</w:t>
      </w:r>
    </w:p>
    <w:tbl>
      <w:tblPr>
        <w:tblStyle w:val="2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19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指标</w:t>
            </w:r>
          </w:p>
        </w:tc>
        <w:tc>
          <w:tcPr>
            <w:tcW w:w="16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正常范围</w:t>
            </w:r>
          </w:p>
        </w:tc>
        <w:tc>
          <w:tcPr>
            <w:tcW w:w="17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必须采取措施的阈值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pH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7.5-8.8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＜7.5或＞9.0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溶解氧（mg/L）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＞5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氨态氮（mg/L）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＜0.2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＞0.2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亚硝酸氮（mg/L）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＜0.05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＞0.1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硫化氢（mg/L）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＜0.01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＞0.02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余氯（mg/L）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＜0.1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＞0.2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总碱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度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（mg/L）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120～300</w:t>
            </w:r>
          </w:p>
        </w:tc>
        <w:tc>
          <w:tcPr>
            <w:tcW w:w="17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＜80或＞600</w:t>
            </w:r>
          </w:p>
        </w:tc>
      </w:tr>
    </w:tbl>
    <w:p>
      <w:pPr>
        <w:pStyle w:val="56"/>
      </w:pPr>
    </w:p>
    <w:p>
      <w:pPr>
        <w:pStyle w:val="105"/>
        <w:spacing w:before="156" w:after="156"/>
      </w:pPr>
      <w:r>
        <w:rPr>
          <w:rFonts w:hint="eastAsia"/>
          <w:lang w:val="en-US" w:eastAsia="zh-CN"/>
        </w:rPr>
        <w:t>饲料投喂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人工配合饲料质量应符合GB/T 22919.5和NY 5072的规定。</w:t>
      </w:r>
      <w:r>
        <w:rPr>
          <w:rFonts w:hint="default"/>
          <w:lang w:val="en-US" w:eastAsia="zh-CN"/>
        </w:rPr>
        <w:t>人工配合饲料和丰年虫无节幼体交替投喂</w:t>
      </w:r>
      <w:r>
        <w:rPr>
          <w:rFonts w:hint="eastAsia"/>
          <w:lang w:val="en-US" w:eastAsia="zh-CN"/>
        </w:rPr>
        <w:t>，生物活饵以丰年虫无节幼体为主，投喂前</w:t>
      </w:r>
      <w:r>
        <w:rPr>
          <w:rFonts w:hint="default"/>
          <w:lang w:val="en-US" w:eastAsia="zh-CN"/>
        </w:rPr>
        <w:t>用</w:t>
      </w:r>
      <w:r>
        <w:rPr>
          <w:rFonts w:hint="eastAsia"/>
          <w:lang w:val="en-US" w:eastAsia="zh-CN"/>
        </w:rPr>
        <w:t xml:space="preserve">10 </w:t>
      </w:r>
      <w:r>
        <w:rPr>
          <w:rFonts w:hint="default"/>
          <w:lang w:val="en-US" w:eastAsia="zh-CN"/>
        </w:rPr>
        <w:t>mg/L聚维酮碘彻底消毒、冲洗干净</w:t>
      </w:r>
      <w:r>
        <w:rPr>
          <w:rFonts w:hint="eastAsia"/>
          <w:lang w:val="en-US" w:eastAsia="zh-CN"/>
        </w:rPr>
        <w:t>后投喂。 配合饲料以微胶囊饵料为主，搭配丰年虫无节幼体，每</w:t>
      </w:r>
      <w:r>
        <w:rPr>
          <w:rFonts w:hint="default"/>
          <w:lang w:val="en-US" w:eastAsia="zh-CN"/>
        </w:rPr>
        <w:t>日投喂8次</w:t>
      </w:r>
      <w:r>
        <w:rPr>
          <w:rFonts w:hint="eastAsia"/>
          <w:lang w:val="en-US" w:eastAsia="zh-CN"/>
        </w:rPr>
        <w:t>。具体投喂量</w:t>
      </w:r>
      <w:r>
        <w:rPr>
          <w:rFonts w:hint="default"/>
          <w:lang w:val="en-US" w:eastAsia="zh-CN"/>
        </w:rPr>
        <w:t>按表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执行。</w:t>
      </w:r>
    </w:p>
    <w:p>
      <w:pPr>
        <w:pStyle w:val="104"/>
        <w:numPr>
          <w:ilvl w:val="1"/>
          <w:numId w:val="0"/>
        </w:numPr>
        <w:spacing w:before="312" w:after="312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  布池后不同日龄每百万尾仔虾饲料每日投喂量及粒径</w:t>
      </w:r>
    </w:p>
    <w:tbl>
      <w:tblPr>
        <w:tblStyle w:val="2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392"/>
        <w:gridCol w:w="2388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配合饲料 (g)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饲料粒径 (μm)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丰年虫无节幼体(kg)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240～300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100～200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270～330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100～200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300～360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100～200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4日龄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360～420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100～200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5日龄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420～480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200～300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6日龄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510～570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200～300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7日龄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600～660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200～300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8日龄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720～780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200～300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9日龄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840～900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300～400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10日龄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1020～1080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300～400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—</w:t>
            </w:r>
          </w:p>
        </w:tc>
      </w:tr>
    </w:tbl>
    <w:p>
      <w:pPr>
        <w:pStyle w:val="105"/>
        <w:spacing w:before="156" w:after="156"/>
      </w:pPr>
      <w:r>
        <w:rPr>
          <w:rFonts w:hint="eastAsia"/>
          <w:lang w:val="en-US" w:eastAsia="zh-CN"/>
        </w:rPr>
        <w:t>温度控制</w:t>
      </w:r>
    </w:p>
    <w:p>
      <w:pPr>
        <w:pStyle w:val="56"/>
      </w:pPr>
      <w:r>
        <w:t>仔</w:t>
      </w:r>
      <w:r>
        <w:rPr>
          <w:rFonts w:hint="eastAsia"/>
        </w:rPr>
        <w:t>虾</w:t>
      </w:r>
      <w:r>
        <w:t>入池后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每天升温1</w:t>
      </w:r>
      <w:r>
        <w:t>～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 xml:space="preserve"> </w:t>
      </w:r>
      <w:r>
        <w:t>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直</w:t>
      </w:r>
      <w:r>
        <w:t>至</w:t>
      </w:r>
      <w:r>
        <w:rPr>
          <w:rFonts w:hint="eastAsia"/>
          <w:lang w:val="en-US" w:eastAsia="zh-CN"/>
        </w:rPr>
        <w:t xml:space="preserve">28 </w:t>
      </w:r>
      <w:r>
        <w:t>℃</w:t>
      </w:r>
      <w:r>
        <w:rPr>
          <w:rFonts w:hint="eastAsia"/>
          <w:lang w:val="en-US" w:eastAsia="zh-CN"/>
        </w:rPr>
        <w:t>保持不变</w:t>
      </w:r>
      <w:r>
        <w:t>，稳定12</w:t>
      </w:r>
      <w:r>
        <w:rPr>
          <w:rFonts w:hint="eastAsia"/>
          <w:lang w:val="en-US" w:eastAsia="zh-CN"/>
        </w:rPr>
        <w:t xml:space="preserve"> </w:t>
      </w:r>
      <w:r>
        <w:t>hrs～24</w:t>
      </w:r>
      <w:r>
        <w:rPr>
          <w:rFonts w:hint="eastAsia"/>
          <w:lang w:val="en-US" w:eastAsia="zh-CN"/>
        </w:rPr>
        <w:t xml:space="preserve"> </w:t>
      </w:r>
      <w:r>
        <w:t>hrs后</w:t>
      </w:r>
      <w:r>
        <w:rPr>
          <w:rFonts w:hint="eastAsia"/>
          <w:lang w:val="en-US" w:eastAsia="zh-CN"/>
        </w:rPr>
        <w:t xml:space="preserve">升温至30 </w:t>
      </w:r>
      <w:r>
        <w:t>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保持不变</w:t>
      </w:r>
      <w:r>
        <w:t>，出</w:t>
      </w:r>
      <w:r>
        <w:rPr>
          <w:rFonts w:hint="eastAsia"/>
          <w:lang w:val="en-US" w:eastAsia="zh-CN"/>
        </w:rPr>
        <w:t>苗</w:t>
      </w:r>
      <w:r>
        <w:t>前3</w:t>
      </w:r>
      <w:r>
        <w:rPr>
          <w:rFonts w:hint="eastAsia"/>
          <w:lang w:val="en-US" w:eastAsia="zh-CN"/>
        </w:rPr>
        <w:t>天，每</w:t>
      </w:r>
      <w:r>
        <w:t>日降温2</w:t>
      </w:r>
      <w:r>
        <w:rPr>
          <w:rFonts w:hint="eastAsia"/>
          <w:lang w:val="en-US" w:eastAsia="zh-CN"/>
        </w:rPr>
        <w:t xml:space="preserve"> </w:t>
      </w:r>
      <w:r>
        <w:t>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直</w:t>
      </w:r>
      <w:r>
        <w:t>至</w:t>
      </w:r>
      <w:r>
        <w:rPr>
          <w:rFonts w:hint="eastAsia"/>
        </w:rPr>
        <w:t>与</w:t>
      </w:r>
      <w:r>
        <w:t>目标</w:t>
      </w:r>
      <w:r>
        <w:rPr>
          <w:rFonts w:hint="eastAsia"/>
        </w:rPr>
        <w:t>养成地</w:t>
      </w:r>
      <w:r>
        <w:t>温度温差</w:t>
      </w:r>
      <w:r>
        <w:rPr>
          <w:rFonts w:hint="eastAsia"/>
          <w:lang w:val="en-US" w:eastAsia="zh-CN"/>
        </w:rPr>
        <w:t>不超过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℃</w:t>
      </w:r>
      <w:r>
        <w:rPr>
          <w:rFonts w:hint="eastAsia"/>
          <w:lang w:val="en-US" w:eastAsia="zh-CN"/>
        </w:rPr>
        <w:t>时保持不变，准备出苗</w:t>
      </w:r>
      <w:r>
        <w:t>。</w:t>
      </w:r>
    </w:p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换水与淡化速率</w:t>
      </w:r>
    </w:p>
    <w:p>
      <w:pPr>
        <w:pStyle w:val="56"/>
      </w:pPr>
      <w:r>
        <w:rPr>
          <w:rFonts w:hint="eastAsia"/>
          <w:lang w:val="en-US" w:eastAsia="zh-CN"/>
        </w:rPr>
        <w:t>仔虾入池12 hrs～24 hrs正常摄食代谢后，即可淡化培育。淡化速率按表3执行。前三日</w:t>
      </w:r>
      <w:r>
        <w:rPr>
          <w:rFonts w:hint="eastAsia" w:ascii="宋体" w:eastAsia="宋体"/>
          <w:lang w:val="en-US" w:eastAsia="zh-CN"/>
        </w:rPr>
        <w:t>每日换水量</w:t>
      </w:r>
      <w:r>
        <w:rPr>
          <w:rFonts w:hint="eastAsia"/>
          <w:lang w:val="en-US" w:eastAsia="zh-CN"/>
        </w:rPr>
        <w:t>与盐度变化相匹配，</w:t>
      </w:r>
      <w:r>
        <w:rPr>
          <w:rFonts w:hint="eastAsia" w:ascii="宋体" w:eastAsia="宋体"/>
          <w:lang w:val="en-US" w:eastAsia="zh-CN"/>
        </w:rPr>
        <w:t>不少于20%，</w:t>
      </w:r>
      <w:r>
        <w:rPr>
          <w:rFonts w:hint="default" w:ascii="宋体" w:eastAsia="宋体"/>
          <w:lang w:val="en-US" w:eastAsia="zh-CN"/>
        </w:rPr>
        <w:t>进水时，控制</w:t>
      </w:r>
      <w:r>
        <w:rPr>
          <w:rFonts w:hint="eastAsia" w:ascii="宋体" w:eastAsia="宋体"/>
          <w:lang w:val="en-US" w:eastAsia="zh-CN"/>
        </w:rPr>
        <w:t>进</w:t>
      </w:r>
      <w:r>
        <w:rPr>
          <w:rFonts w:hint="default" w:ascii="宋体" w:eastAsia="宋体"/>
          <w:lang w:val="en-US" w:eastAsia="zh-CN"/>
        </w:rPr>
        <w:t>水流速，每次换水时间为6～8小时为宜。</w:t>
      </w:r>
    </w:p>
    <w:p>
      <w:pPr>
        <w:pStyle w:val="104"/>
        <w:numPr>
          <w:ilvl w:val="1"/>
          <w:numId w:val="0"/>
        </w:numPr>
        <w:spacing w:before="312" w:after="312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表3  淡化培育盐度梯度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盐度范围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≧10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g/L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5～10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g/L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2～5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每日淡化速率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g/L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g/L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g/L</w:t>
            </w:r>
          </w:p>
        </w:tc>
      </w:tr>
    </w:tbl>
    <w:p>
      <w:pPr>
        <w:pStyle w:val="104"/>
        <w:spacing w:before="312" w:after="312"/>
      </w:pPr>
      <w:r>
        <w:rPr>
          <w:rFonts w:hint="eastAsia"/>
          <w:lang w:val="en-US" w:eastAsia="zh-CN"/>
        </w:rPr>
        <w:t>病害防控</w:t>
      </w:r>
    </w:p>
    <w:p>
      <w:pPr>
        <w:pStyle w:val="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预防为主，防治结合。发生细菌性疾病，宜采用聚维酮碘等消毒剂对养殖水体消毒；发生病毒性疾病时，必须进行无害化处理。</w:t>
      </w:r>
    </w:p>
    <w:p>
      <w:pPr>
        <w:pStyle w:val="104"/>
        <w:spacing w:before="312" w:after="31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生产记录</w:t>
      </w:r>
    </w:p>
    <w:p>
      <w:pPr>
        <w:pStyle w:val="56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建立苗种档案与生产记录并保存2年以上，主要包括：苗种来源、病原检疫、投入品、水质指标、日常管理、销售情况等。</w:t>
      </w:r>
    </w:p>
    <w:p>
      <w:pPr>
        <w:pStyle w:val="10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出苗</w:t>
      </w:r>
    </w:p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出池规格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出池体长</w:t>
      </w:r>
      <w:r>
        <w:rPr>
          <w:rFonts w:hint="eastAsia"/>
          <w:lang w:val="en-US" w:eastAsia="zh-CN"/>
        </w:rPr>
        <w:t>不低于</w:t>
      </w:r>
      <w:r>
        <w:rPr>
          <w:rFonts w:hint="default"/>
          <w:lang w:val="en-US" w:eastAsia="zh-CN"/>
        </w:rPr>
        <w:t>1.0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cm。</w:t>
      </w:r>
    </w:p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外观质量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规格整齐，胃肠饱满、活力强、无损伤、无残缺、无畸形，体表干净，无残缺和畸形。</w:t>
      </w:r>
    </w:p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病原检测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无特定病原体。</w:t>
      </w:r>
    </w:p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虾苗计数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依据</w:t>
      </w:r>
      <w:r>
        <w:rPr>
          <w:rFonts w:hint="default"/>
          <w:u w:val="none"/>
          <w:lang w:val="en-US" w:eastAsia="zh-CN"/>
        </w:rPr>
        <w:t>SC/T 9401标准执行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lang w:val="en-US" w:eastAsia="zh-CN"/>
        </w:rPr>
        <w:t>采用抽样重量法，</w:t>
      </w:r>
      <w:r>
        <w:rPr>
          <w:rFonts w:hint="default"/>
          <w:lang w:val="en-US" w:eastAsia="zh-CN"/>
        </w:rPr>
        <w:t>通过随机抽样计算单位重量的个体数量，</w:t>
      </w:r>
      <w:r>
        <w:rPr>
          <w:rFonts w:hint="eastAsia"/>
          <w:lang w:val="en-US" w:eastAsia="zh-CN"/>
        </w:rPr>
        <w:t>依据11.5中确定打包密度，确定单包具体数量后，每包称取指定重量的虾苗</w:t>
      </w:r>
      <w:r>
        <w:rPr>
          <w:rFonts w:hint="eastAsia"/>
          <w:u w:val="none"/>
          <w:lang w:val="en-US" w:eastAsia="zh-CN"/>
        </w:rPr>
        <w:t>。</w:t>
      </w:r>
    </w:p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打包密度</w:t>
      </w:r>
    </w:p>
    <w:p>
      <w:pPr>
        <w:pStyle w:val="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具体打包密度见表4</w:t>
      </w:r>
      <w:r>
        <w:rPr>
          <w:rFonts w:hint="default"/>
          <w:lang w:val="en-US" w:eastAsia="zh-CN"/>
        </w:rPr>
        <w:t>。</w:t>
      </w:r>
    </w:p>
    <w:p>
      <w:pPr>
        <w:pStyle w:val="104"/>
        <w:numPr>
          <w:ilvl w:val="1"/>
          <w:numId w:val="0"/>
        </w:numPr>
        <w:spacing w:before="312" w:after="312"/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表4 不同运输时间相对应的打包密度</w:t>
      </w:r>
    </w:p>
    <w:tbl>
      <w:tblPr>
        <w:tblStyle w:val="26"/>
        <w:tblW w:w="5438" w:type="pct"/>
        <w:tblInd w:w="-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22"/>
        <w:gridCol w:w="2632"/>
        <w:gridCol w:w="2780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运输时间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运输时间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 hrs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 xml:space="preserve">1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hrs＜运输时间≤3 hrs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3hrs＜运输时间＜6 hrs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运输时间≥6 hrs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打包密度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1000～2000 尾/L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800 ～1000 尾/L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600 ～800 尾/L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400 ～600 尾/L</w:t>
            </w:r>
          </w:p>
        </w:tc>
      </w:tr>
    </w:tbl>
    <w:p>
      <w:pPr>
        <w:pStyle w:val="105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运输方法</w:t>
      </w:r>
    </w:p>
    <w:p>
      <w:pPr>
        <w:pStyle w:val="56"/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依据SC/T 1075标准执行，</w:t>
      </w:r>
      <w:r>
        <w:rPr>
          <w:rFonts w:hint="default"/>
          <w:lang w:val="en-US" w:eastAsia="zh-CN"/>
        </w:rPr>
        <w:t>采用打包运输方式</w:t>
      </w:r>
      <w:r>
        <w:rPr>
          <w:rFonts w:hint="eastAsia"/>
          <w:lang w:val="en-US" w:eastAsia="zh-CN"/>
        </w:rPr>
        <w:t>，装运时，</w:t>
      </w:r>
      <w:r>
        <w:rPr>
          <w:rFonts w:hint="default"/>
          <w:lang w:val="en-US" w:eastAsia="zh-CN"/>
        </w:rPr>
        <w:t>使用定制</w:t>
      </w:r>
      <w:r>
        <w:rPr>
          <w:rFonts w:hint="eastAsia"/>
          <w:lang w:val="en-US" w:eastAsia="zh-CN"/>
        </w:rPr>
        <w:t>聚乙烯</w:t>
      </w:r>
      <w:r>
        <w:rPr>
          <w:rFonts w:hint="default"/>
          <w:lang w:val="en-US" w:eastAsia="zh-CN"/>
        </w:rPr>
        <w:t>塑料袋，容积40 L，装入10 L的</w:t>
      </w:r>
      <w:r>
        <w:rPr>
          <w:rFonts w:hint="eastAsia"/>
          <w:lang w:val="en-US" w:eastAsia="zh-CN"/>
        </w:rPr>
        <w:t>清</w:t>
      </w:r>
      <w:r>
        <w:rPr>
          <w:rFonts w:hint="default"/>
          <w:lang w:val="en-US" w:eastAsia="zh-CN"/>
        </w:rPr>
        <w:t>水，</w:t>
      </w:r>
      <w:r>
        <w:rPr>
          <w:rFonts w:hint="eastAsia"/>
          <w:lang w:val="en-US" w:eastAsia="zh-CN"/>
        </w:rPr>
        <w:t xml:space="preserve">检查是否渗漏，确认无漏后，然后计数放入虾苗,充氧封口，再套一塑料袋，再封口运输即可。严防途中漏水、跑气。 </w:t>
      </w:r>
    </w:p>
    <w:bookmarkEnd w:id="21"/>
    <w:p>
      <w:pPr>
        <w:pStyle w:val="198"/>
        <w:numPr>
          <w:ilvl w:val="0"/>
          <w:numId w:val="0"/>
        </w:numPr>
        <w:spacing w:line="240" w:lineRule="auto"/>
        <w:ind w:leftChars="0"/>
        <w:jc w:val="both"/>
        <w:rPr>
          <w:vanish w:val="0"/>
        </w:rPr>
      </w:pPr>
    </w:p>
    <w:sectPr>
      <w:pgSz w:w="11906" w:h="16838"/>
      <w:pgMar w:top="2410" w:right="1134" w:bottom="1134" w:left="1134" w:header="1418" w:footer="1134" w:gutter="284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21/T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21/T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pStyle w:val="233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235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238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dit="forms" w:enforcement="1" w:cryptProviderType="rsaAES" w:cryptAlgorithmClass="hash" w:cryptAlgorithmType="typeAny" w:cryptAlgorithmSid="14" w:cryptSpinCount="100000" w:hash="ISFKSumCAfEcaVdSrIULYqGrv6zc3PU04CaTKNyoOHXDoBZeGoFfU+vXRm+HncgH7FkDuAgMHOwM8hXqlgbbXg==" w:salt="ghLl+YJ5GiJAzmU5JUKfF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TU1OTM2ZGI3NjU0ZjhjMDY0YzA5NWRiMGNjMDIifQ=="/>
  </w:docVars>
  <w:rsids>
    <w:rsidRoot w:val="00992F3A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1BB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BB8"/>
    <w:rsid w:val="00281E9E"/>
    <w:rsid w:val="00282405"/>
    <w:rsid w:val="00285170"/>
    <w:rsid w:val="00285361"/>
    <w:rsid w:val="002912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77194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5C1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32D"/>
    <w:rsid w:val="00865ACA"/>
    <w:rsid w:val="00865D28"/>
    <w:rsid w:val="00865F85"/>
    <w:rsid w:val="00867C10"/>
    <w:rsid w:val="00870439"/>
    <w:rsid w:val="00870DA1"/>
    <w:rsid w:val="008832DD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54F20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2F3A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D78EC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661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57C0D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2261E27"/>
    <w:rsid w:val="03017C29"/>
    <w:rsid w:val="039355CF"/>
    <w:rsid w:val="05E31590"/>
    <w:rsid w:val="06014D4D"/>
    <w:rsid w:val="06673429"/>
    <w:rsid w:val="0B8849D3"/>
    <w:rsid w:val="0C0A7422"/>
    <w:rsid w:val="0CC47683"/>
    <w:rsid w:val="0F3122FA"/>
    <w:rsid w:val="11C93474"/>
    <w:rsid w:val="1ADD6614"/>
    <w:rsid w:val="1D730C84"/>
    <w:rsid w:val="223138B8"/>
    <w:rsid w:val="22714772"/>
    <w:rsid w:val="23233C10"/>
    <w:rsid w:val="285C7072"/>
    <w:rsid w:val="298F0D6A"/>
    <w:rsid w:val="2C7C4D2F"/>
    <w:rsid w:val="30B93446"/>
    <w:rsid w:val="35B023F0"/>
    <w:rsid w:val="36637751"/>
    <w:rsid w:val="3B003B1A"/>
    <w:rsid w:val="3E191EE7"/>
    <w:rsid w:val="40296E73"/>
    <w:rsid w:val="43DD5CF5"/>
    <w:rsid w:val="43E06185"/>
    <w:rsid w:val="44BD258A"/>
    <w:rsid w:val="46EB274B"/>
    <w:rsid w:val="4A834233"/>
    <w:rsid w:val="4B9B26F6"/>
    <w:rsid w:val="4C2975DE"/>
    <w:rsid w:val="57935716"/>
    <w:rsid w:val="57D16584"/>
    <w:rsid w:val="57E31B1C"/>
    <w:rsid w:val="5C451280"/>
    <w:rsid w:val="5DA547C7"/>
    <w:rsid w:val="60D60740"/>
    <w:rsid w:val="647D6511"/>
    <w:rsid w:val="6BF259ED"/>
    <w:rsid w:val="6F7B225C"/>
    <w:rsid w:val="723143F0"/>
    <w:rsid w:val="7AE11C44"/>
    <w:rsid w:val="7EB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6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7">
    <w:name w:val="标题 4 Char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8">
    <w:name w:val="标题 5 Char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6 Char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0">
    <w:name w:val="标题 7 Char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1">
    <w:name w:val="标题 8 Char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2">
    <w:name w:val="标题 9 Char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43">
    <w:name w:val="页眉 Char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脚 Char"/>
    <w:link w:val="17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5">
    <w:name w:val="批注框文本 Char"/>
    <w:link w:val="16"/>
    <w:semiHidden/>
    <w:qFormat/>
    <w:uiPriority w:val="99"/>
    <w:rPr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Char"/>
    <w:link w:val="46"/>
    <w:qFormat/>
    <w:uiPriority w:val="29"/>
    <w:rPr>
      <w:i/>
      <w:iCs/>
      <w:color w:val="000000"/>
    </w:rPr>
  </w:style>
  <w:style w:type="character" w:customStyle="1" w:styleId="48">
    <w:name w:val="标题 Char"/>
    <w:link w:val="2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link w:val="237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0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40" w:beforeLines="4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Char"/>
    <w:link w:val="1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87">
    <w:name w:val="标准文件_附录章标题"/>
    <w:next w:val="5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after="150"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0"/>
    <w:pPr>
      <w:spacing w:line="460" w:lineRule="exact"/>
    </w:pPr>
  </w:style>
  <w:style w:type="paragraph" w:customStyle="1" w:styleId="91">
    <w:name w:val="标准文件_目录标题"/>
    <w:basedOn w:val="1"/>
    <w:qFormat/>
    <w:uiPriority w:val="0"/>
    <w:pPr>
      <w:spacing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0"/>
    <w:pPr>
      <w:numPr>
        <w:numId w:val="10"/>
      </w:numPr>
      <w:ind w:left="0" w:firstLine="200"/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不明显参考1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Char"/>
    <w:link w:val="21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00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qFormat/>
    <w:uiPriority w:val="0"/>
    <w:pPr>
      <w:outlineLvl w:val="4"/>
    </w:pPr>
  </w:style>
  <w:style w:type="paragraph" w:customStyle="1" w:styleId="130">
    <w:name w:val="附录四级无标题条"/>
    <w:basedOn w:val="129"/>
    <w:next w:val="56"/>
    <w:qFormat/>
    <w:uiPriority w:val="0"/>
    <w:pPr>
      <w:outlineLvl w:val="5"/>
    </w:pPr>
  </w:style>
  <w:style w:type="paragraph" w:customStyle="1" w:styleId="131">
    <w:name w:val="附录图"/>
    <w:next w:val="56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qFormat/>
    <w:uiPriority w:val="0"/>
    <w:pPr>
      <w:outlineLvl w:val="6"/>
    </w:pPr>
  </w:style>
  <w:style w:type="paragraph" w:customStyle="1" w:styleId="134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qFormat/>
    <w:uiPriority w:val="0"/>
    <w:pPr>
      <w:tabs>
        <w:tab w:val="left" w:pos="840"/>
      </w:tabs>
    </w:pPr>
  </w:style>
  <w:style w:type="paragraph" w:customStyle="1" w:styleId="14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semiHidden/>
    <w:qFormat/>
    <w:uiPriority w:val="0"/>
    <w:pPr>
      <w:ind w:left="1260"/>
    </w:pPr>
  </w:style>
  <w:style w:type="paragraph" w:customStyle="1" w:styleId="148">
    <w:name w:val="目录 81"/>
    <w:basedOn w:val="147"/>
    <w:semiHidden/>
    <w:qFormat/>
    <w:uiPriority w:val="0"/>
    <w:pPr>
      <w:ind w:left="1470"/>
    </w:pPr>
  </w:style>
  <w:style w:type="paragraph" w:customStyle="1" w:styleId="149">
    <w:name w:val="目录 91"/>
    <w:basedOn w:val="148"/>
    <w:semiHidden/>
    <w:qFormat/>
    <w:uiPriority w:val="0"/>
    <w:pPr>
      <w:ind w:left="1680"/>
    </w:pPr>
  </w:style>
  <w:style w:type="paragraph" w:customStyle="1" w:styleId="1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0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20"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left="1271" w:hanging="42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0">
    <w:name w:val="段"/>
    <w:link w:val="23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1">
    <w:name w:val="段 Char"/>
    <w:link w:val="230"/>
    <w:qFormat/>
    <w:uiPriority w:val="0"/>
    <w:rPr>
      <w:rFonts w:ascii="宋体" w:hAnsi="Times New Roman"/>
      <w:sz w:val="21"/>
    </w:rPr>
  </w:style>
  <w:style w:type="character" w:customStyle="1" w:styleId="232">
    <w:name w:val="一级条标题 Char"/>
    <w:link w:val="233"/>
    <w:qFormat/>
    <w:uiPriority w:val="0"/>
    <w:rPr>
      <w:rFonts w:ascii="黑体" w:eastAsia="黑体"/>
      <w:sz w:val="21"/>
      <w:szCs w:val="21"/>
    </w:rPr>
  </w:style>
  <w:style w:type="paragraph" w:customStyle="1" w:styleId="233">
    <w:name w:val="一级条标题"/>
    <w:next w:val="230"/>
    <w:link w:val="232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character" w:customStyle="1" w:styleId="234">
    <w:name w:val="二级条标题 Char"/>
    <w:link w:val="235"/>
    <w:qFormat/>
    <w:uiPriority w:val="0"/>
  </w:style>
  <w:style w:type="paragraph" w:customStyle="1" w:styleId="235">
    <w:name w:val="二级条标题"/>
    <w:basedOn w:val="233"/>
    <w:next w:val="230"/>
    <w:link w:val="234"/>
    <w:qFormat/>
    <w:uiPriority w:val="0"/>
    <w:pPr>
      <w:numPr>
        <w:ilvl w:val="2"/>
      </w:numPr>
      <w:spacing w:before="50" w:after="50"/>
      <w:outlineLvl w:val="3"/>
    </w:pPr>
    <w:rPr>
      <w:rFonts w:ascii="Calibri" w:eastAsia="宋体"/>
      <w:sz w:val="20"/>
      <w:szCs w:val="20"/>
    </w:rPr>
  </w:style>
  <w:style w:type="paragraph" w:customStyle="1" w:styleId="236">
    <w:name w:val="章标题"/>
    <w:next w:val="230"/>
    <w:qFormat/>
    <w:uiPriority w:val="0"/>
    <w:pPr>
      <w:spacing w:before="312" w:beforeLines="100" w:after="312" w:afterLines="100"/>
      <w:ind w:left="823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37">
    <w:name w:val="标准文件_ICS Char"/>
    <w:link w:val="54"/>
    <w:qFormat/>
    <w:uiPriority w:val="0"/>
    <w:rPr>
      <w:rFonts w:ascii="黑体" w:hAnsi="宋体" w:eastAsia="黑体"/>
    </w:rPr>
  </w:style>
  <w:style w:type="paragraph" w:customStyle="1" w:styleId="238">
    <w:name w:val="正文表标题"/>
    <w:next w:val="230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glossaryDocument" Target="glossary/document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microsoft.com/office/2006/relationships/keyMapCustomizations" Target="customizations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tiff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25DF69C569C46AD82E17CE97BF593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07D6F3-87D6-43E6-A51C-AE46D811D82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8"/>
    <w:rsid w:val="00531DAD"/>
    <w:rsid w:val="006871DF"/>
    <w:rsid w:val="00D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25DF69C569C46AD82E17CE97BF593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95DEB075E6448AA9CED67337CE84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68ACF7F0C9046E9A98B84923ECC1B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90364-2BD3-440B-922C-553E67565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7</Pages>
  <Words>2272</Words>
  <Characters>2796</Characters>
  <Lines>21</Lines>
  <Paragraphs>6</Paragraphs>
  <TotalTime>27</TotalTime>
  <ScaleCrop>false</ScaleCrop>
  <LinksUpToDate>false</LinksUpToDate>
  <CharactersWithSpaces>2906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2022-05-16T01:30:00Z</dcterms:created>
  <dc:creator>Administrator</dc:creator>
  <dc:description>&lt;config cover="true" show_menu="true" version="1.0.0" doctype="SDKXY"&gt;_x000d_
&lt;/config&gt;</dc:description>
  <cp:lastModifiedBy>空速轨迹</cp:lastModifiedBy>
  <cp:lastPrinted>2022-05-18T06:52:00Z</cp:lastPrinted>
  <dcterms:modified xsi:type="dcterms:W3CDTF">2023-09-01T07:02:16Z</dcterms:modified>
  <dc:title>地方标准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2052-11.1.0.14309</vt:lpwstr>
  </property>
  <property fmtid="{D5CDD505-2E9C-101B-9397-08002B2CF9AE}" pid="15" name="ICV">
    <vt:lpwstr>334A98FAC55743CB8AF46A45CDE0CCD4_13</vt:lpwstr>
  </property>
</Properties>
</file>