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hint="eastAsia" w:ascii="黑体" w:hAnsi="黑体" w:eastAsia="黑体"/>
                <w:sz w:val="21"/>
                <w:szCs w:val="21"/>
              </w:rPr>
              <w:fldChar w:fldCharType="begin">
                <w:ffData>
                  <w:name w:val="CSDN"/>
                  <w:enabled/>
                  <w:calcOnExit w:val="0"/>
                  <w:textInput>
                    <w:default w:val="B05"/>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B05</w:t>
            </w:r>
            <w:r>
              <w:rPr>
                <w:rFonts w:hint="eastAsia" w:ascii="黑体" w:hAnsi="黑体" w:eastAsia="黑体"/>
                <w:sz w:val="21"/>
                <w:szCs w:val="21"/>
              </w:rPr>
              <w:fldChar w:fldCharType="end"/>
            </w:r>
            <w:bookmarkEnd w:id="1"/>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4"/>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pPr>
        <w:pStyle w:val="55"/>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200"/>
        <w:framePr w:wrap="around"/>
        <w:rPr>
          <w:rFonts w:hint="default" w:eastAsia="黑体"/>
          <w:lang w:val="en-US" w:eastAsia="zh-CN"/>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21</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rPr>
          <w:rFonts w:hint="eastAsia"/>
          <w:lang w:val="en-US" w:eastAsia="zh-CN"/>
        </w:rPr>
        <w:t>2024</w:t>
      </w:r>
    </w:p>
    <w:p>
      <w:pPr>
        <w:pStyle w:val="201"/>
        <w:framePr w:wrap="around"/>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rPr>
          <w:rFonts w:hint="eastAsia"/>
        </w:rPr>
        <w:t>东方百合切花生产技术规程</w:t>
      </w:r>
    </w:p>
    <w:p>
      <w:pPr>
        <w:framePr w:w="9639" w:h="6974" w:hRule="exact" w:wrap="around" w:vAnchor="page" w:hAnchor="page" w:x="1419" w:y="6408" w:anchorLock="1"/>
        <w:ind w:left="-1418"/>
      </w:pPr>
    </w:p>
    <w:p>
      <w:pPr>
        <w:pStyle w:val="130"/>
        <w:framePr w:w="9639" w:h="6974" w:hRule="exact" w:wrap="around" w:vAnchor="page" w:hAnchor="page" w:x="1419" w:y="6408"/>
        <w:textAlignment w:val="bottom"/>
        <w:rPr>
          <w:rFonts w:eastAsia="黑体"/>
          <w:szCs w:val="28"/>
        </w:rPr>
      </w:pPr>
      <w:r>
        <w:rPr>
          <w:rFonts w:hint="eastAsia"/>
        </w:rPr>
        <w:t>Production technical regulation for cut flower of Oriental lily</w:t>
      </w:r>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textAlignment w:val="bottom"/>
        <w:rPr>
          <w:rFonts w:eastAsia="黑体"/>
          <w:szCs w:val="28"/>
        </w:rPr>
      </w:pPr>
    </w:p>
    <w:p>
      <w:pPr>
        <w:pStyle w:val="130"/>
        <w:framePr w:w="9639" w:h="6974" w:hRule="exact" w:wrap="around" w:vAnchor="page" w:hAnchor="page" w:x="1419" w:y="6408"/>
        <w:spacing w:before="440" w:after="160"/>
        <w:textAlignment w:val="bottom"/>
        <w:rPr>
          <w:sz w:val="24"/>
          <w:szCs w:val="28"/>
        </w:rPr>
      </w:pPr>
      <w:bookmarkStart w:id="8" w:name="下拉1"/>
      <w:r>
        <w:rPr>
          <w:rFonts w:hint="eastAsia"/>
          <w:sz w:val="24"/>
          <w:szCs w:val="28"/>
          <w:lang w:val="en-US" w:eastAsia="zh-CN"/>
        </w:rPr>
        <w:t>（征求意见</w:t>
      </w:r>
      <w:r>
        <w:rPr>
          <w:rFonts w:hint="eastAsia"/>
          <w:b w:val="0"/>
          <w:bCs w:val="0"/>
          <w:sz w:val="24"/>
          <w:szCs w:val="28"/>
          <w:lang w:val="en-US" w:eastAsia="zh-CN"/>
        </w:rPr>
        <w:t>稿</w:t>
      </w:r>
      <w:r>
        <w:rPr>
          <w:rFonts w:hint="eastAsia"/>
          <w:sz w:val="24"/>
          <w:szCs w:val="28"/>
          <w:lang w:val="en-US" w:eastAsia="zh-CN"/>
        </w:rPr>
        <w:t>）</w:t>
      </w:r>
      <w:bookmarkEnd w:id="8"/>
    </w:p>
    <w:p>
      <w:pPr>
        <w:pStyle w:val="130"/>
        <w:framePr w:w="9639" w:h="6974" w:hRule="exact" w:wrap="around" w:vAnchor="page" w:hAnchor="page" w:x="1419" w:y="6408"/>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rFonts w:hint="eastAsia"/>
          <w:sz w:val="21"/>
          <w:szCs w:val="28"/>
          <w:lang w:val="en-US" w:eastAsia="zh-CN"/>
        </w:rPr>
        <w:t>2024.5</w:t>
      </w:r>
      <w:r>
        <w:rPr>
          <w:sz w:val="21"/>
          <w:szCs w:val="28"/>
        </w:rPr>
        <w:t>   </w:t>
      </w:r>
      <w:r>
        <w:rPr>
          <w:sz w:val="21"/>
          <w:szCs w:val="28"/>
        </w:rPr>
        <w:fldChar w:fldCharType="end"/>
      </w:r>
      <w:bookmarkEnd w:id="9"/>
    </w:p>
    <w:p>
      <w:pPr>
        <w:pStyle w:val="130"/>
        <w:framePr w:w="9639" w:h="6974" w:hRule="exact" w:wrap="around" w:vAnchor="page" w:hAnchor="page" w:x="1419" w:y="6408"/>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8"/>
        <w:framePr w:wrap="around" w:y="14176"/>
      </w:pPr>
      <w:r>
        <w:rPr>
          <w:rFonts w:hint="eastAsia" w:ascii="黑体"/>
        </w:rPr>
        <w:t>202</w:t>
      </w:r>
      <w:r>
        <w:rPr>
          <w:rFonts w:hint="eastAsia" w:ascii="黑体"/>
          <w:lang w:val="en-US" w:eastAsia="zh-CN"/>
        </w:rPr>
        <w:t>4</w:t>
      </w:r>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hint="eastAsia" w:ascii="黑体"/>
        </w:rPr>
        <w:t>202</w:t>
      </w:r>
      <w:r>
        <w:rPr>
          <w:rFonts w:ascii="黑体"/>
        </w:rPr>
        <w:fldChar w:fldCharType="end"/>
      </w:r>
      <w:bookmarkEnd w:id="13"/>
      <w:r>
        <w:rPr>
          <w:rFonts w:hint="eastAsia" w:ascii="黑体"/>
        </w:rPr>
        <w:t>4</w:t>
      </w:r>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6"/>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辽宁省市场监督管理局</w:t>
      </w:r>
      <w:r>
        <w:rPr>
          <w:rFonts w:hAnsi="黑体"/>
          <w:w w:val="100"/>
          <w:sz w:val="28"/>
        </w:rPr>
        <w:fldChar w:fldCharType="end"/>
      </w:r>
      <w:bookmarkEnd w:id="16"/>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pgNumType w:fmt="upperRoman"/>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4"/>
        <w:spacing w:after="468"/>
      </w:pPr>
      <w:bookmarkStart w:id="17" w:name="BookMark2"/>
      <w:r>
        <w:rPr>
          <w:spacing w:val="320"/>
        </w:rPr>
        <w:t>前</w:t>
      </w:r>
      <w:r>
        <w:t>言</w:t>
      </w:r>
    </w:p>
    <w:p>
      <w:pPr>
        <w:spacing w:line="42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本文件按照GB/T 1.1-2020《标准化工作导则</w:t>
      </w:r>
      <w:r>
        <w:rPr>
          <w:rFonts w:hint="eastAsia" w:ascii="Times New Roman" w:hAnsi="Times New Roman" w:cs="Times New Roman"/>
          <w:kern w:val="0"/>
          <w:szCs w:val="20"/>
          <w:lang w:val="en-US" w:eastAsia="zh-CN"/>
        </w:rPr>
        <w:t xml:space="preserve">  </w:t>
      </w:r>
      <w:r>
        <w:rPr>
          <w:rFonts w:hint="default" w:ascii="Times New Roman" w:hAnsi="Times New Roman" w:cs="Times New Roman"/>
          <w:kern w:val="0"/>
          <w:szCs w:val="20"/>
        </w:rPr>
        <w:t>第</w:t>
      </w:r>
      <w:r>
        <w:rPr>
          <w:rFonts w:hint="eastAsia" w:ascii="Times New Roman" w:hAnsi="Times New Roman" w:cs="Times New Roman"/>
          <w:kern w:val="0"/>
          <w:szCs w:val="20"/>
          <w:lang w:val="en-US" w:eastAsia="zh-CN"/>
        </w:rPr>
        <w:t>1</w:t>
      </w:r>
      <w:r>
        <w:rPr>
          <w:rFonts w:hint="default" w:ascii="Times New Roman" w:hAnsi="Times New Roman" w:cs="Times New Roman"/>
          <w:kern w:val="0"/>
          <w:szCs w:val="20"/>
        </w:rPr>
        <w:t>部分：标准化文件</w:t>
      </w:r>
      <w:r>
        <w:rPr>
          <w:rFonts w:hint="eastAsia" w:ascii="Times New Roman" w:hAnsi="Times New Roman" w:cs="Times New Roman"/>
          <w:kern w:val="0"/>
          <w:szCs w:val="20"/>
          <w:lang w:val="en-US" w:eastAsia="zh-CN"/>
        </w:rPr>
        <w:t>的</w:t>
      </w:r>
      <w:r>
        <w:rPr>
          <w:rFonts w:hint="default" w:ascii="Times New Roman" w:hAnsi="Times New Roman" w:cs="Times New Roman"/>
          <w:kern w:val="0"/>
          <w:szCs w:val="20"/>
        </w:rPr>
        <w:t>结构和起草规则》的规定起草。</w:t>
      </w:r>
    </w:p>
    <w:p>
      <w:pPr>
        <w:spacing w:line="420" w:lineRule="exact"/>
        <w:ind w:firstLine="420" w:firstLineChars="200"/>
        <w:rPr>
          <w:rFonts w:hint="default" w:ascii="Times New Roman" w:hAnsi="Times New Roman" w:cs="Times New Roman"/>
          <w:color w:val="auto"/>
          <w:kern w:val="0"/>
          <w:szCs w:val="20"/>
        </w:rPr>
      </w:pPr>
      <w:r>
        <w:rPr>
          <w:rFonts w:hint="default" w:ascii="Times New Roman" w:hAnsi="Times New Roman" w:cs="Times New Roman"/>
          <w:color w:val="auto"/>
          <w:kern w:val="0"/>
          <w:szCs w:val="20"/>
        </w:rPr>
        <w:t>请注意本文件的某些内容可能涉及专利。本文件的发布机构不承担识别专利的责任。</w:t>
      </w:r>
    </w:p>
    <w:p>
      <w:pPr>
        <w:spacing w:line="42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本文件由辽宁省农业农村厅提出并归口。</w:t>
      </w:r>
    </w:p>
    <w:p>
      <w:pPr>
        <w:adjustRightInd w:val="0"/>
        <w:spacing w:line="42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本文件起草单位：</w:t>
      </w:r>
      <w:r>
        <w:rPr>
          <w:rFonts w:hint="default" w:ascii="宋体" w:hAnsi="宋体" w:eastAsia="宋体"/>
          <w:kern w:val="0"/>
          <w:sz w:val="21"/>
          <w:szCs w:val="21"/>
        </w:rPr>
        <w:t>辽宁省农业科学院</w:t>
      </w:r>
      <w:r>
        <w:rPr>
          <w:rFonts w:hint="default" w:ascii="宋体" w:hAnsi="宋体" w:eastAsia="宋体"/>
          <w:kern w:val="0"/>
          <w:sz w:val="21"/>
          <w:szCs w:val="21"/>
          <w:lang w:eastAsia="zh-CN"/>
        </w:rPr>
        <w:t>、</w:t>
      </w:r>
      <w:r>
        <w:rPr>
          <w:rFonts w:hint="default" w:ascii="宋体" w:hAnsi="宋体" w:eastAsia="宋体" w:cs="Times New Roman"/>
          <w:spacing w:val="0"/>
          <w:kern w:val="0"/>
          <w:sz w:val="21"/>
          <w:szCs w:val="21"/>
        </w:rPr>
        <w:t>凌源市蔬菜花卉产业发展服务中心</w:t>
      </w:r>
      <w:r>
        <w:rPr>
          <w:rFonts w:hint="default" w:ascii="宋体" w:hAnsi="宋体" w:eastAsia="宋体" w:cs="Times New Roman"/>
          <w:spacing w:val="0"/>
          <w:kern w:val="0"/>
          <w:sz w:val="21"/>
          <w:szCs w:val="21"/>
          <w:lang w:eastAsia="zh-CN"/>
        </w:rPr>
        <w:t>、</w:t>
      </w:r>
      <w:r>
        <w:rPr>
          <w:rFonts w:hint="default" w:ascii="宋体" w:hAnsi="宋体" w:eastAsia="宋体"/>
          <w:kern w:val="0"/>
          <w:sz w:val="21"/>
          <w:szCs w:val="21"/>
        </w:rPr>
        <w:t>辽宁省绿色农业技术中心</w:t>
      </w:r>
      <w:r>
        <w:rPr>
          <w:rFonts w:hint="default" w:ascii="Times New Roman" w:hAnsi="Times New Roman" w:cs="Times New Roman"/>
          <w:kern w:val="0"/>
          <w:szCs w:val="20"/>
        </w:rPr>
        <w:t>。</w:t>
      </w:r>
    </w:p>
    <w:p>
      <w:pPr>
        <w:spacing w:line="420" w:lineRule="exact"/>
        <w:ind w:firstLine="420" w:firstLineChars="200"/>
        <w:rPr>
          <w:rFonts w:hint="eastAsia" w:ascii="宋体" w:hAnsi="宋体" w:eastAsia="宋体"/>
          <w:color w:val="auto"/>
          <w:kern w:val="0"/>
          <w:szCs w:val="21"/>
          <w:lang w:val="en-US" w:eastAsia="zh-CN"/>
        </w:rPr>
      </w:pPr>
      <w:r>
        <w:rPr>
          <w:rFonts w:hint="default" w:ascii="Times New Roman" w:hAnsi="Times New Roman" w:cs="Times New Roman"/>
          <w:color w:val="auto"/>
        </w:rPr>
        <w:t>本文件主要起草人</w:t>
      </w:r>
      <w:r>
        <w:rPr>
          <w:rFonts w:hint="default" w:ascii="Times New Roman" w:hAnsi="Times New Roman" w:eastAsia="宋体" w:cs="Times New Roman"/>
          <w:kern w:val="0"/>
          <w:szCs w:val="20"/>
        </w:rPr>
        <w:t>：</w:t>
      </w:r>
      <w:r>
        <w:rPr>
          <w:rFonts w:hint="eastAsia" w:ascii="宋体" w:hAnsi="宋体"/>
          <w:color w:val="auto"/>
          <w:kern w:val="0"/>
          <w:szCs w:val="21"/>
        </w:rPr>
        <w:t>杨迎东</w:t>
      </w:r>
      <w:r>
        <w:rPr>
          <w:rFonts w:hint="eastAsia" w:ascii="宋体" w:hAnsi="宋体"/>
          <w:color w:val="auto"/>
          <w:kern w:val="0"/>
          <w:szCs w:val="21"/>
          <w:lang w:eastAsia="zh-CN"/>
        </w:rPr>
        <w:t>，</w:t>
      </w:r>
      <w:r>
        <w:rPr>
          <w:rFonts w:hint="eastAsia" w:ascii="宋体" w:hAnsi="宋体"/>
          <w:color w:val="auto"/>
          <w:kern w:val="0"/>
          <w:szCs w:val="21"/>
        </w:rPr>
        <w:t>王伟东</w:t>
      </w:r>
      <w:r>
        <w:rPr>
          <w:rFonts w:hint="eastAsia" w:ascii="宋体" w:hAnsi="宋体"/>
          <w:color w:val="auto"/>
          <w:kern w:val="0"/>
          <w:szCs w:val="21"/>
          <w:lang w:eastAsia="zh-CN"/>
        </w:rPr>
        <w:t>，</w:t>
      </w:r>
      <w:r>
        <w:rPr>
          <w:rFonts w:hint="eastAsia" w:ascii="宋体" w:hAnsi="宋体"/>
          <w:color w:val="auto"/>
          <w:kern w:val="0"/>
          <w:szCs w:val="21"/>
          <w:lang w:val="en-US" w:eastAsia="zh-CN"/>
        </w:rPr>
        <w:t>宋国柱，贾慧群，司海静，周俐宏，左岩，</w:t>
      </w:r>
      <w:r>
        <w:rPr>
          <w:rFonts w:hint="eastAsia" w:ascii="宋体" w:hAnsi="宋体"/>
          <w:color w:val="auto"/>
          <w:kern w:val="0"/>
          <w:szCs w:val="21"/>
        </w:rPr>
        <w:t>胡新颖</w:t>
      </w:r>
      <w:r>
        <w:rPr>
          <w:rFonts w:hint="eastAsia" w:ascii="宋体" w:hAnsi="宋体"/>
          <w:color w:val="auto"/>
          <w:kern w:val="0"/>
          <w:szCs w:val="21"/>
          <w:lang w:eastAsia="zh-CN"/>
        </w:rPr>
        <w:t>，</w:t>
      </w:r>
      <w:r>
        <w:rPr>
          <w:rFonts w:hint="eastAsia" w:ascii="宋体" w:hAnsi="宋体"/>
          <w:color w:val="auto"/>
          <w:kern w:val="0"/>
          <w:szCs w:val="21"/>
        </w:rPr>
        <w:t>白一光</w:t>
      </w:r>
      <w:r>
        <w:rPr>
          <w:rFonts w:hint="eastAsia" w:ascii="宋体" w:hAnsi="宋体"/>
          <w:color w:val="auto"/>
          <w:kern w:val="0"/>
          <w:szCs w:val="21"/>
          <w:lang w:eastAsia="zh-CN"/>
        </w:rPr>
        <w:t>，</w:t>
      </w:r>
      <w:r>
        <w:rPr>
          <w:rFonts w:hint="eastAsia" w:ascii="宋体" w:hAnsi="宋体"/>
          <w:color w:val="auto"/>
          <w:kern w:val="0"/>
          <w:szCs w:val="21"/>
          <w:lang w:val="en-US" w:eastAsia="zh-CN"/>
        </w:rPr>
        <w:t>李雪艳，</w:t>
      </w:r>
      <w:r>
        <w:rPr>
          <w:rFonts w:hint="eastAsia" w:ascii="宋体" w:hAnsi="宋体"/>
          <w:color w:val="auto"/>
          <w:kern w:val="0"/>
          <w:szCs w:val="21"/>
        </w:rPr>
        <w:t>张睿琪</w:t>
      </w:r>
      <w:r>
        <w:rPr>
          <w:rFonts w:hint="eastAsia" w:ascii="宋体" w:hAnsi="宋体"/>
          <w:color w:val="auto"/>
          <w:kern w:val="0"/>
          <w:szCs w:val="21"/>
          <w:lang w:eastAsia="zh-CN"/>
        </w:rPr>
        <w:t>，</w:t>
      </w:r>
      <w:r>
        <w:rPr>
          <w:rFonts w:hint="eastAsia" w:ascii="宋体" w:hAnsi="宋体"/>
          <w:color w:val="auto"/>
          <w:kern w:val="0"/>
          <w:szCs w:val="21"/>
          <w:lang w:val="en-US" w:eastAsia="zh-CN"/>
        </w:rPr>
        <w:t>毕威，于洪志，王宇琦，梁晓伟，刘亭亭，马海军，辛颖</w:t>
      </w:r>
      <w:r>
        <w:rPr>
          <w:rFonts w:hint="eastAsia" w:ascii="宋体" w:hAnsi="宋体"/>
          <w:color w:val="auto"/>
          <w:kern w:val="0"/>
          <w:szCs w:val="21"/>
          <w:lang w:eastAsia="zh-CN"/>
        </w:rPr>
        <w:t>。</w:t>
      </w:r>
    </w:p>
    <w:p>
      <w:pPr>
        <w:spacing w:line="420" w:lineRule="exact"/>
        <w:ind w:firstLine="420" w:firstLineChars="200"/>
        <w:rPr>
          <w:rFonts w:hint="default" w:ascii="Times New Roman" w:hAnsi="Times New Roman" w:cs="Times New Roman"/>
          <w:kern w:val="0"/>
          <w:szCs w:val="20"/>
        </w:rPr>
      </w:pPr>
      <w:r>
        <w:rPr>
          <w:rFonts w:hint="default" w:ascii="Times New Roman" w:hAnsi="Times New Roman" w:cs="Times New Roman"/>
          <w:kern w:val="0"/>
          <w:szCs w:val="20"/>
        </w:rPr>
        <w:t>本</w:t>
      </w:r>
      <w:r>
        <w:rPr>
          <w:rFonts w:hint="eastAsia" w:ascii="Times New Roman" w:hAnsi="Times New Roman" w:cs="Times New Roman"/>
          <w:kern w:val="0"/>
          <w:szCs w:val="20"/>
          <w:lang w:val="en-US" w:eastAsia="zh-CN"/>
        </w:rPr>
        <w:t>文件</w:t>
      </w:r>
      <w:r>
        <w:rPr>
          <w:rFonts w:hint="default" w:ascii="Times New Roman" w:hAnsi="Times New Roman" w:cs="Times New Roman"/>
          <w:kern w:val="0"/>
          <w:szCs w:val="20"/>
        </w:rPr>
        <w:t>发布实施后，任何单位和个人如有问题和意见建议，均可以通过来电和来函等方式进行反馈，我们将及时答复并认真处理，根据实际情况依法进行评估及复审。</w:t>
      </w:r>
    </w:p>
    <w:p>
      <w:pPr>
        <w:spacing w:line="420" w:lineRule="exact"/>
        <w:ind w:firstLine="420" w:firstLineChars="200"/>
        <w:rPr>
          <w:rFonts w:hint="eastAsia" w:ascii="Times New Roman" w:hAnsi="Times New Roman" w:eastAsia="宋体" w:cs="Times New Roman"/>
          <w:kern w:val="0"/>
          <w:szCs w:val="20"/>
          <w:lang w:eastAsia="zh-CN"/>
        </w:rPr>
      </w:pPr>
      <w:r>
        <w:rPr>
          <w:rFonts w:hint="default" w:ascii="Times New Roman" w:hAnsi="Times New Roman" w:cs="Times New Roman"/>
          <w:kern w:val="0"/>
          <w:szCs w:val="20"/>
        </w:rPr>
        <w:t>归口管理部门通讯地址：辽宁省农业农村厅（辽宁省沈阳市和平区太原北街2号），邮编：110001，联系电话：024-23447862</w:t>
      </w:r>
      <w:r>
        <w:rPr>
          <w:rFonts w:hint="eastAsia" w:ascii="Times New Roman" w:hAnsi="Times New Roman" w:cs="Times New Roman"/>
          <w:kern w:val="0"/>
          <w:szCs w:val="20"/>
          <w:lang w:eastAsia="zh-CN"/>
        </w:rPr>
        <w:t>。</w:t>
      </w:r>
    </w:p>
    <w:p>
      <w:pPr>
        <w:spacing w:line="420" w:lineRule="exact"/>
        <w:ind w:firstLine="420" w:firstLineChars="200"/>
        <w:rPr>
          <w:rFonts w:hint="eastAsia" w:ascii="Times New Roman" w:hAnsi="Times New Roman" w:eastAsia="宋体" w:cs="Times New Roman"/>
          <w:kern w:val="0"/>
          <w:szCs w:val="20"/>
          <w:lang w:eastAsia="zh-CN"/>
        </w:rPr>
      </w:pPr>
      <w:r>
        <w:rPr>
          <w:rFonts w:hint="eastAsia" w:ascii="Times New Roman" w:hAnsi="Times New Roman" w:cs="Times New Roman"/>
          <w:kern w:val="0"/>
          <w:szCs w:val="20"/>
          <w:lang w:val="en-US" w:eastAsia="zh-CN"/>
        </w:rPr>
        <w:t>文件</w:t>
      </w:r>
      <w:r>
        <w:rPr>
          <w:rFonts w:hint="default" w:ascii="Times New Roman" w:hAnsi="Times New Roman" w:cs="Times New Roman"/>
          <w:kern w:val="0"/>
          <w:szCs w:val="20"/>
        </w:rPr>
        <w:t>起草单位通讯地址：辽宁省农业科学院（辽宁省沈阳市东陵路84号），邮编：110161，联系电话：024-31025677</w:t>
      </w:r>
      <w:r>
        <w:rPr>
          <w:rFonts w:hint="eastAsia" w:ascii="Times New Roman" w:hAnsi="Times New Roman" w:cs="Times New Roman"/>
          <w:kern w:val="0"/>
          <w:szCs w:val="20"/>
          <w:lang w:eastAsia="zh-CN"/>
        </w:rPr>
        <w:t>。</w:t>
      </w:r>
    </w:p>
    <w:p>
      <w:pPr>
        <w:pStyle w:val="61"/>
        <w:ind w:firstLine="420"/>
      </w:pPr>
    </w:p>
    <w:p>
      <w:pPr>
        <w:pStyle w:val="61"/>
        <w:ind w:firstLine="420"/>
      </w:pPr>
    </w:p>
    <w:p>
      <w:pPr>
        <w:pStyle w:val="61"/>
        <w:ind w:firstLine="420"/>
        <w:sectPr>
          <w:headerReference r:id="rId9" w:type="default"/>
          <w:footerReference r:id="rId11" w:type="default"/>
          <w:headerReference r:id="rId10" w:type="even"/>
          <w:pgSz w:w="11906" w:h="16838"/>
          <w:pgMar w:top="2410"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17"/>
    <w:p>
      <w:pPr>
        <w:spacing w:line="20" w:lineRule="exact"/>
        <w:jc w:val="center"/>
        <w:rPr>
          <w:rFonts w:ascii="黑体" w:hAnsi="黑体" w:eastAsia="黑体"/>
          <w:sz w:val="32"/>
          <w:szCs w:val="32"/>
        </w:rPr>
      </w:pPr>
      <w:bookmarkStart w:id="18" w:name="BookMark4"/>
    </w:p>
    <w:p>
      <w:pPr>
        <w:spacing w:line="20" w:lineRule="exact"/>
        <w:jc w:val="center"/>
        <w:rPr>
          <w:rFonts w:ascii="黑体" w:hAnsi="黑体" w:eastAsia="黑体"/>
          <w:sz w:val="32"/>
          <w:szCs w:val="32"/>
        </w:rPr>
      </w:pPr>
    </w:p>
    <w:sdt>
      <w:sdtPr>
        <w:tag w:val="NEW_STAND_NAME"/>
        <w:id w:val="595910757"/>
        <w:lock w:val="sdtLocked"/>
        <w:placeholder>
          <w:docPart w:val="8D51676F08B34AC5A56FBF63AC7A73BC"/>
        </w:placeholder>
      </w:sdtPr>
      <w:sdtContent>
        <w:p>
          <w:pPr>
            <w:pStyle w:val="182"/>
            <w:spacing w:before="3" w:beforeLines="1" w:after="686" w:afterLines="220"/>
          </w:pPr>
          <w:bookmarkStart w:id="19" w:name="NEW_STAND_NAME"/>
          <w:r>
            <w:rPr>
              <w:rFonts w:hint="eastAsia"/>
              <w:lang w:val="en-US" w:eastAsia="zh-CN"/>
            </w:rPr>
            <w:t>东方百合切花生产技术规程</w:t>
          </w:r>
        </w:p>
      </w:sdtContent>
    </w:sdt>
    <w:bookmarkEnd w:id="19"/>
    <w:p>
      <w:pPr>
        <w:pStyle w:val="109"/>
        <w:numPr>
          <w:ilvl w:val="1"/>
          <w:numId w:val="0"/>
        </w:numPr>
        <w:spacing w:before="312" w:after="312"/>
      </w:pPr>
      <w:bookmarkStart w:id="20" w:name="_Toc26986771"/>
      <w:bookmarkStart w:id="21" w:name="_Toc26986530"/>
      <w:bookmarkStart w:id="22" w:name="_Toc26648465"/>
      <w:bookmarkStart w:id="23" w:name="_Toc24884218"/>
      <w:bookmarkStart w:id="24" w:name="_Toc17233325"/>
      <w:bookmarkStart w:id="25" w:name="_Toc26718930"/>
      <w:bookmarkStart w:id="26" w:name="_Toc24884211"/>
      <w:bookmarkStart w:id="27" w:name="_Toc17233333"/>
      <w:r>
        <w:rPr>
          <w:rFonts w:hint="eastAsia" w:ascii="黑体" w:hAnsi="Times New Roman" w:eastAsia="黑体" w:cs="Times New Roman"/>
          <w:b w:val="0"/>
          <w:i w:val="0"/>
          <w:sz w:val="21"/>
          <w:lang w:val="en-US" w:eastAsia="zh-CN" w:bidi="ar-SA"/>
        </w:rPr>
        <w:t>1　</w:t>
      </w:r>
      <w:r>
        <w:rPr>
          <w:rFonts w:hint="eastAsia"/>
        </w:rPr>
        <w:t>范围</w:t>
      </w:r>
      <w:bookmarkEnd w:id="20"/>
      <w:bookmarkEnd w:id="21"/>
      <w:bookmarkEnd w:id="22"/>
      <w:bookmarkEnd w:id="23"/>
      <w:bookmarkEnd w:id="24"/>
      <w:bookmarkEnd w:id="25"/>
      <w:bookmarkEnd w:id="26"/>
      <w:bookmarkEnd w:id="27"/>
    </w:p>
    <w:p>
      <w:pPr>
        <w:pStyle w:val="61"/>
        <w:spacing w:line="360" w:lineRule="auto"/>
        <w:rPr>
          <w:rFonts w:hint="eastAsia"/>
        </w:rPr>
      </w:pPr>
      <w:r>
        <w:rPr>
          <w:rFonts w:hint="eastAsia"/>
        </w:rPr>
        <w:t>本标准规定了东方百合切花生产场地和设施设备、品种及种球选择、土壤和基质、基肥、种球处理、定植、种植后田间管理、病虫害防控、切花采收加工冷藏和运输等技术内容。</w:t>
      </w:r>
    </w:p>
    <w:p>
      <w:pPr>
        <w:pStyle w:val="61"/>
        <w:spacing w:line="360" w:lineRule="auto"/>
      </w:pPr>
      <w:r>
        <w:rPr>
          <w:rFonts w:hint="eastAsia"/>
        </w:rPr>
        <w:t>本标准适用于北方地区东方百合切花生产操作。</w:t>
      </w:r>
    </w:p>
    <w:p>
      <w:pPr>
        <w:pStyle w:val="109"/>
        <w:numPr>
          <w:ilvl w:val="1"/>
          <w:numId w:val="0"/>
        </w:numPr>
        <w:spacing w:before="312" w:after="312"/>
        <w:rPr>
          <w:rFonts w:hint="eastAsia"/>
        </w:rPr>
      </w:pPr>
      <w:bookmarkStart w:id="28" w:name="_Toc26718931"/>
      <w:bookmarkStart w:id="29" w:name="_Toc26986772"/>
      <w:bookmarkStart w:id="30" w:name="_Toc26986531"/>
      <w:r>
        <w:rPr>
          <w:rFonts w:hint="eastAsia" w:ascii="黑体" w:hAnsi="Times New Roman" w:eastAsia="黑体" w:cs="Times New Roman"/>
          <w:b w:val="0"/>
          <w:i w:val="0"/>
          <w:sz w:val="21"/>
          <w:lang w:val="en-US" w:eastAsia="zh-CN" w:bidi="ar-SA"/>
        </w:rPr>
        <w:t>2　</w:t>
      </w:r>
      <w:r>
        <w:rPr>
          <w:rFonts w:hint="eastAsia"/>
        </w:rPr>
        <w:t>规范性引用文件</w:t>
      </w:r>
      <w:bookmarkEnd w:id="28"/>
      <w:bookmarkEnd w:id="29"/>
      <w:bookmarkEnd w:id="30"/>
    </w:p>
    <w:sdt>
      <w:sdtPr>
        <w:rPr>
          <w:rFonts w:hint="eastAsia"/>
        </w:rPr>
        <w:id w:val="715848253"/>
        <w:placeholder>
          <w:docPart w:val="{18f34006-58c8-453a-bbef-a05c0b28175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spacing w:line="360" w:lineRule="auto"/>
            <w:ind w:firstLine="420"/>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bidi w:val="0"/>
        <w:rPr>
          <w:rFonts w:hint="eastAsia"/>
          <w:lang w:val="en-US" w:eastAsia="zh-CN"/>
        </w:rPr>
      </w:pPr>
      <w:r>
        <w:rPr>
          <w:rFonts w:hint="eastAsia"/>
          <w:lang w:val="en-US" w:eastAsia="zh-CN"/>
        </w:rPr>
        <w:t>NY/T 3706-2020 百合切花等级规格</w:t>
      </w:r>
    </w:p>
    <w:p>
      <w:pPr>
        <w:pStyle w:val="60"/>
        <w:bidi w:val="0"/>
        <w:rPr>
          <w:rFonts w:hint="default"/>
          <w:lang w:val="en-US" w:eastAsia="zh-CN"/>
        </w:rPr>
      </w:pPr>
      <w:r>
        <w:rPr>
          <w:rFonts w:hint="eastAsia"/>
          <w:lang w:val="en-US" w:eastAsia="zh-CN"/>
        </w:rPr>
        <w:t>DB43/T 2011-2021 百合病虫害绿色防控技术规程</w:t>
      </w:r>
    </w:p>
    <w:p>
      <w:pPr>
        <w:pStyle w:val="109"/>
        <w:numPr>
          <w:ilvl w:val="1"/>
          <w:numId w:val="0"/>
        </w:numPr>
        <w:spacing w:before="312" w:after="312"/>
        <w:rPr>
          <w:rFonts w:hint="eastAsia"/>
        </w:rPr>
      </w:pPr>
      <w:r>
        <w:rPr>
          <w:rFonts w:hint="eastAsia" w:ascii="黑体" w:hAnsi="Times New Roman" w:eastAsia="黑体" w:cs="Times New Roman"/>
          <w:b w:val="0"/>
          <w:i w:val="0"/>
          <w:sz w:val="21"/>
          <w:lang w:val="en-US" w:eastAsia="zh-CN" w:bidi="ar-SA"/>
        </w:rPr>
        <w:t>3　</w:t>
      </w:r>
      <w:r>
        <w:rPr>
          <w:rFonts w:hint="eastAsia"/>
          <w:szCs w:val="20"/>
        </w:rPr>
        <w:t>术语和定义</w:t>
      </w:r>
    </w:p>
    <w:sdt>
      <w:sdtPr>
        <w:id w:val="-1909835108"/>
        <w:placeholder>
          <w:docPart w:val="301EABE90A024F54ADD1DA2A6B43A6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spacing w:line="400" w:lineRule="exact"/>
            <w:ind w:firstLine="420" w:firstLineChars="200"/>
          </w:pPr>
          <w:bookmarkStart w:id="31" w:name="_Toc26986532"/>
          <w:bookmarkEnd w:id="31"/>
          <w:r>
            <w:rPr>
              <w:rFonts w:ascii="宋体" w:hAnsi="Times New Roman" w:eastAsia="宋体" w:cs="Times New Roman"/>
              <w:sz w:val="21"/>
              <w:lang w:val="en-US" w:eastAsia="zh-CN" w:bidi="ar-SA"/>
            </w:rPr>
            <w:t>下列术语和定义适用于本文件。</w:t>
          </w:r>
        </w:p>
      </w:sdtContent>
    </w:sdt>
    <w:p>
      <w:pPr>
        <w:pStyle w:val="61"/>
        <w:spacing w:line="400" w:lineRule="exact"/>
        <w:ind w:firstLine="0" w:firstLineChars="0"/>
        <w:rPr>
          <w:rFonts w:hint="eastAsia"/>
          <w:lang w:val="en-US" w:eastAsia="zh-CN"/>
        </w:rPr>
      </w:pPr>
      <w:r>
        <w:rPr>
          <w:rFonts w:hint="eastAsia"/>
          <w:lang w:val="en-US" w:eastAsia="zh-CN"/>
        </w:rPr>
        <w:t xml:space="preserve">3.1 </w:t>
      </w:r>
    </w:p>
    <w:p>
      <w:pPr>
        <w:pStyle w:val="61"/>
        <w:rPr>
          <w:rFonts w:ascii="Calibri" w:hAnsi="Calibri" w:cs="Calibri"/>
        </w:rPr>
      </w:pPr>
      <w:r>
        <w:rPr>
          <w:rFonts w:hint="default" w:ascii="Calibri" w:hAnsi="Calibri" w:cs="Calibri"/>
          <w:lang w:val="en-US" w:eastAsia="zh-CN"/>
        </w:rPr>
        <w:t>东方百合</w:t>
      </w:r>
      <w:r>
        <w:rPr>
          <w:rFonts w:hint="eastAsia" w:ascii="Calibri" w:hAnsi="Calibri" w:cs="Calibri"/>
          <w:lang w:val="en-US" w:eastAsia="zh-CN"/>
        </w:rPr>
        <w:t xml:space="preserve"> </w:t>
      </w:r>
      <w:r>
        <w:rPr>
          <w:rFonts w:hint="default" w:ascii="Calibri" w:hAnsi="Calibri" w:cs="Calibri"/>
          <w:lang w:val="en-US" w:eastAsia="zh-CN"/>
        </w:rPr>
        <w:t xml:space="preserve">oriental hybrids </w:t>
      </w:r>
    </w:p>
    <w:p>
      <w:pPr>
        <w:keepNext w:val="0"/>
        <w:keepLines w:val="0"/>
        <w:widowControl/>
        <w:suppressLineNumbers w:val="0"/>
        <w:ind w:firstLine="420" w:firstLineChars="200"/>
        <w:jc w:val="left"/>
      </w:pPr>
      <w:r>
        <w:rPr>
          <w:rFonts w:hint="eastAsia"/>
          <w:lang w:val="en-US" w:eastAsia="zh-CN"/>
        </w:rPr>
        <w:t>也称东方百合杂种系，是由分布在日本、中国、印度的百合原种及其杂交种反复杂交选育而来。其特点是花朵斜上或横生，花色较丰富，花型有碗型、星型、星状碗型等，花瓣反卷或波浪形，花被片常有彩斑，有香味，株高80 cm～240 cm，花朵直径18 cm～25 cm。</w:t>
      </w:r>
    </w:p>
    <w:p>
      <w:pPr>
        <w:pStyle w:val="61"/>
        <w:spacing w:line="400" w:lineRule="exact"/>
        <w:ind w:firstLine="0" w:firstLineChars="0"/>
        <w:rPr>
          <w:rFonts w:hint="eastAsia"/>
          <w:lang w:val="en-US" w:eastAsia="zh-CN"/>
        </w:rPr>
      </w:pPr>
      <w:r>
        <w:rPr>
          <w:rFonts w:hint="eastAsia"/>
          <w:lang w:val="en-US" w:eastAsia="zh-CN"/>
        </w:rPr>
        <w:t>3.2</w:t>
      </w:r>
    </w:p>
    <w:p>
      <w:pPr>
        <w:pStyle w:val="61"/>
        <w:keepNext w:val="0"/>
        <w:keepLines w:val="0"/>
        <w:widowControl/>
        <w:suppressLineNumbers w:val="0"/>
        <w:jc w:val="left"/>
        <w:rPr>
          <w:rFonts w:hint="eastAsia" w:ascii="Calibri" w:hAnsi="Calibri" w:cs="Calibri"/>
        </w:rPr>
      </w:pPr>
      <w:r>
        <w:rPr>
          <w:rFonts w:hint="default" w:ascii="Calibri" w:hAnsi="Calibri" w:cs="Calibri"/>
          <w:lang w:val="en-US" w:eastAsia="zh-CN"/>
        </w:rPr>
        <w:t>种球</w:t>
      </w:r>
      <w:r>
        <w:rPr>
          <w:rFonts w:hint="eastAsia" w:ascii="Calibri" w:hAnsi="Calibri" w:cs="Calibri"/>
          <w:lang w:val="en-US" w:eastAsia="zh-CN"/>
        </w:rPr>
        <w:t xml:space="preserve"> </w:t>
      </w:r>
      <w:r>
        <w:rPr>
          <w:rFonts w:hint="default" w:ascii="Calibri" w:hAnsi="Calibri" w:cs="Calibri"/>
          <w:lang w:val="en-US" w:eastAsia="zh-CN"/>
        </w:rPr>
        <w:t>b</w:t>
      </w:r>
      <w:r>
        <w:rPr>
          <w:rFonts w:hint="default" w:ascii="Calibri" w:hAnsi="Calibri" w:eastAsia="宋体" w:cs="Calibri"/>
          <w:color w:val="000000"/>
          <w:kern w:val="0"/>
          <w:sz w:val="21"/>
          <w:szCs w:val="20"/>
          <w:lang w:val="en-US" w:eastAsia="zh-CN" w:bidi="ar"/>
        </w:rPr>
        <w:t xml:space="preserve">ulb </w:t>
      </w:r>
    </w:p>
    <w:p>
      <w:pPr>
        <w:keepNext w:val="0"/>
        <w:keepLines w:val="0"/>
        <w:widowControl/>
        <w:suppressLineNumbers w:val="0"/>
        <w:ind w:firstLine="420" w:firstLineChars="200"/>
        <w:jc w:val="left"/>
        <w:rPr>
          <w:rFonts w:hint="eastAsia"/>
        </w:rPr>
      </w:pPr>
      <w:r>
        <w:rPr>
          <w:rFonts w:hint="eastAsia"/>
          <w:lang w:val="en-US" w:eastAsia="zh-CN"/>
        </w:rPr>
        <w:t>又称地下鳞茎，是</w:t>
      </w:r>
      <w:r>
        <w:rPr>
          <w:rFonts w:hint="eastAsia" w:ascii="Calibri" w:hAnsi="Calibri" w:eastAsia="宋体" w:cs="Times New Roman"/>
          <w:color w:val="auto"/>
          <w:kern w:val="2"/>
          <w:sz w:val="21"/>
          <w:szCs w:val="21"/>
          <w:lang w:val="en-US" w:eastAsia="zh-CN" w:bidi="ar"/>
        </w:rPr>
        <w:t>地下茎变态成肉质扁平短缩的鳞茎盘，其上的叶片肥厚肉质化，并互相抱合而形成的球状物。</w:t>
      </w:r>
    </w:p>
    <w:p>
      <w:pPr>
        <w:pStyle w:val="61"/>
        <w:spacing w:line="400" w:lineRule="exact"/>
        <w:ind w:firstLine="0" w:firstLineChars="0"/>
        <w:rPr>
          <w:rFonts w:hint="eastAsia"/>
          <w:lang w:val="en-US" w:eastAsia="zh-CN"/>
        </w:rPr>
      </w:pPr>
      <w:r>
        <w:rPr>
          <w:rFonts w:hint="eastAsia"/>
          <w:lang w:val="en-US" w:eastAsia="zh-CN"/>
        </w:rPr>
        <w:t>3.3</w:t>
      </w:r>
    </w:p>
    <w:p>
      <w:pPr>
        <w:pStyle w:val="61"/>
        <w:spacing w:line="400" w:lineRule="exact"/>
        <w:ind w:firstLine="420" w:firstLineChars="200"/>
        <w:rPr>
          <w:rFonts w:hint="eastAsia"/>
          <w:lang w:val="en-US" w:eastAsia="zh-CN"/>
        </w:rPr>
      </w:pPr>
      <w:r>
        <w:rPr>
          <w:rFonts w:hint="eastAsia"/>
          <w:lang w:val="en-US" w:eastAsia="zh-CN"/>
        </w:rPr>
        <w:t>土壤PH值</w:t>
      </w:r>
    </w:p>
    <w:p>
      <w:pPr>
        <w:pStyle w:val="61"/>
        <w:spacing w:line="400" w:lineRule="exact"/>
        <w:ind w:firstLine="420" w:firstLineChars="200"/>
        <w:rPr>
          <w:rFonts w:hint="eastAsia"/>
          <w:lang w:val="en-US" w:eastAsia="zh-CN"/>
        </w:rPr>
      </w:pPr>
      <w:r>
        <w:rPr>
          <w:rFonts w:hint="eastAsia"/>
          <w:lang w:val="en-US" w:eastAsia="zh-CN"/>
        </w:rPr>
        <w:t>即土壤的酸碱度，是衡量土壤中酸性和碱性物质的含量的指标。</w:t>
      </w:r>
    </w:p>
    <w:p>
      <w:pPr>
        <w:pStyle w:val="61"/>
        <w:spacing w:line="400" w:lineRule="exact"/>
        <w:ind w:firstLine="0" w:firstLineChars="0"/>
        <w:rPr>
          <w:rFonts w:hint="default"/>
          <w:lang w:val="en-US" w:eastAsia="zh-CN"/>
        </w:rPr>
      </w:pPr>
      <w:r>
        <w:rPr>
          <w:rFonts w:hint="eastAsia"/>
          <w:lang w:val="en-US" w:eastAsia="zh-CN"/>
        </w:rPr>
        <w:t>3.4</w:t>
      </w:r>
    </w:p>
    <w:p>
      <w:pPr>
        <w:pStyle w:val="61"/>
        <w:spacing w:line="400" w:lineRule="exact"/>
        <w:ind w:firstLine="420" w:firstLineChars="200"/>
        <w:rPr>
          <w:rFonts w:hint="eastAsia"/>
          <w:lang w:val="en-US" w:eastAsia="zh-CN"/>
        </w:rPr>
      </w:pPr>
      <w:r>
        <w:rPr>
          <w:rFonts w:hint="eastAsia"/>
          <w:lang w:val="en-US" w:eastAsia="zh-CN"/>
        </w:rPr>
        <w:t>EC值</w:t>
      </w:r>
    </w:p>
    <w:p>
      <w:pPr>
        <w:pStyle w:val="60"/>
        <w:spacing w:line="400" w:lineRule="exact"/>
        <w:ind w:firstLineChars="200"/>
        <w:rPr>
          <w:rFonts w:hint="eastAsia"/>
          <w:lang w:val="en-US" w:eastAsia="zh-CN"/>
        </w:rPr>
      </w:pPr>
      <w:r>
        <w:rPr>
          <w:rFonts w:hint="eastAsia"/>
          <w:lang w:val="en-US" w:eastAsia="zh-CN"/>
        </w:rPr>
        <w:t>土壤或水中可溶性离子总量，单位为 mS/cm。</w:t>
      </w:r>
    </w:p>
    <w:p>
      <w:pPr>
        <w:pStyle w:val="109"/>
        <w:widowControl/>
        <w:numPr>
          <w:ilvl w:val="1"/>
          <w:numId w:val="0"/>
        </w:numPr>
        <w:snapToGrid w:val="0"/>
        <w:spacing w:before="312" w:after="312" w:line="400" w:lineRule="exact"/>
        <w:ind w:firstLineChars="0"/>
        <w:jc w:val="left"/>
        <w:rPr>
          <w:rFonts w:hint="eastAsia" w:ascii="黑体" w:hAnsi="Times New Roman" w:eastAsia="黑体" w:cs="Times New Roman"/>
          <w:sz w:val="21"/>
          <w:szCs w:val="20"/>
          <w:lang w:val="en-US" w:eastAsia="zh-CN"/>
        </w:rPr>
      </w:pPr>
      <w:r>
        <w:rPr>
          <w:rFonts w:hint="eastAsia" w:ascii="黑体" w:hAnsi="Times New Roman" w:eastAsia="黑体" w:cs="Times New Roman"/>
          <w:b w:val="0"/>
          <w:i w:val="0"/>
          <w:sz w:val="21"/>
          <w:szCs w:val="20"/>
          <w:lang w:val="en-US" w:eastAsia="zh-CN" w:bidi="ar-SA"/>
        </w:rPr>
        <w:t>4　</w:t>
      </w:r>
      <w:r>
        <w:rPr>
          <w:rFonts w:hint="eastAsia" w:ascii="黑体" w:hAnsi="Times New Roman" w:eastAsia="黑体" w:cs="Times New Roman"/>
          <w:sz w:val="21"/>
          <w:szCs w:val="20"/>
          <w:lang w:val="en-US" w:eastAsia="zh-CN"/>
        </w:rPr>
        <w:t>设施设备要求</w:t>
      </w:r>
    </w:p>
    <w:p>
      <w:pPr>
        <w:pStyle w:val="60"/>
        <w:bidi w:val="0"/>
        <w:ind w:left="0" w:leftChars="0" w:firstLine="420"/>
        <w:rPr>
          <w:rFonts w:hint="eastAsia"/>
          <w:lang w:val="en-US" w:eastAsia="zh-CN"/>
        </w:rPr>
      </w:pPr>
      <w:r>
        <w:rPr>
          <w:rFonts w:hint="eastAsia"/>
          <w:lang w:val="en-US" w:eastAsia="zh-CN"/>
        </w:rPr>
        <w:t>常用设施有连栋温室、日光温室、塑料冷棚等，需配备供水、供电等能源供应保障设备，保温、降温、遮荫、补光、防雨、防虫、灌溉、排水、施肥、喷药、翻地、旋耕、做垄等专用设备。</w:t>
      </w:r>
    </w:p>
    <w:p>
      <w:pPr>
        <w:pStyle w:val="109"/>
        <w:numPr>
          <w:ilvl w:val="1"/>
          <w:numId w:val="0"/>
        </w:numPr>
        <w:spacing w:before="312" w:after="312" w:line="400" w:lineRule="exact"/>
        <w:ind w:firstLineChars="0"/>
        <w:rPr>
          <w:rFonts w:hint="eastAsia" w:ascii="黑体" w:hAnsi="Times New Roman" w:eastAsia="黑体" w:cs="Times New Roman"/>
          <w:szCs w:val="20"/>
          <w:lang w:val="en-US" w:eastAsia="zh-CN"/>
        </w:rPr>
      </w:pPr>
      <w:r>
        <w:rPr>
          <w:rFonts w:hint="eastAsia" w:ascii="黑体" w:hAnsi="Times New Roman" w:eastAsia="黑体" w:cs="Times New Roman"/>
          <w:b w:val="0"/>
          <w:i w:val="0"/>
          <w:sz w:val="21"/>
          <w:szCs w:val="20"/>
          <w:lang w:val="en-US" w:eastAsia="zh-CN" w:bidi="ar-SA"/>
        </w:rPr>
        <w:t>5　</w:t>
      </w:r>
      <w:r>
        <w:rPr>
          <w:rFonts w:hint="eastAsia" w:ascii="黑体" w:hAnsi="Times New Roman" w:eastAsia="黑体" w:cs="Times New Roman"/>
          <w:szCs w:val="20"/>
          <w:lang w:val="en-US" w:eastAsia="zh-CN"/>
        </w:rPr>
        <w:t>土壤条件</w:t>
      </w:r>
    </w:p>
    <w:p>
      <w:pPr>
        <w:pStyle w:val="60"/>
        <w:bidi w:val="0"/>
        <w:rPr>
          <w:rFonts w:hint="eastAsia"/>
          <w:lang w:val="en-US" w:eastAsia="zh-CN"/>
        </w:rPr>
      </w:pPr>
      <w:r>
        <w:rPr>
          <w:rFonts w:hint="eastAsia"/>
          <w:lang w:val="en-US" w:eastAsia="zh-CN"/>
        </w:rPr>
        <w:t>土层深厚、富含有机质、保水保肥、排水良好、PH值5.5～7.5的壤土或沙壤土。</w:t>
      </w:r>
    </w:p>
    <w:p>
      <w:pPr>
        <w:pStyle w:val="109"/>
        <w:numPr>
          <w:ilvl w:val="1"/>
          <w:numId w:val="0"/>
        </w:numPr>
        <w:spacing w:before="312" w:after="312" w:line="240" w:lineRule="auto"/>
        <w:rPr>
          <w:rFonts w:hint="eastAsia" w:ascii="黑体" w:hAnsi="Times New Roman" w:eastAsia="黑体" w:cs="Times New Roman"/>
          <w:sz w:val="21"/>
          <w:szCs w:val="20"/>
        </w:rPr>
      </w:pPr>
      <w:r>
        <w:rPr>
          <w:rFonts w:hint="eastAsia" w:ascii="黑体" w:hAnsi="Times New Roman" w:eastAsia="黑体" w:cs="Times New Roman"/>
          <w:b w:val="0"/>
          <w:i w:val="0"/>
          <w:sz w:val="21"/>
          <w:szCs w:val="20"/>
          <w:lang w:val="en-US" w:eastAsia="zh-CN" w:bidi="ar-SA"/>
        </w:rPr>
        <w:t>6　</w:t>
      </w:r>
      <w:r>
        <w:rPr>
          <w:rFonts w:hint="eastAsia" w:hAnsi="Times New Roman" w:cs="Times New Roman"/>
          <w:sz w:val="21"/>
          <w:szCs w:val="20"/>
          <w:lang w:val="en-US" w:eastAsia="zh-CN"/>
        </w:rPr>
        <w:t>品种选择</w:t>
      </w:r>
    </w:p>
    <w:p>
      <w:pPr>
        <w:pStyle w:val="60"/>
        <w:bidi w:val="0"/>
        <w:rPr>
          <w:rFonts w:hint="default"/>
          <w:lang w:val="en-US" w:eastAsia="zh-CN"/>
        </w:rPr>
      </w:pPr>
      <w:r>
        <w:rPr>
          <w:rFonts w:hint="eastAsia"/>
          <w:lang w:val="en-US" w:eastAsia="zh-CN"/>
        </w:rPr>
        <w:t>根据市场需求选择观赏性好、商品性好、抗性强、易于管理、适销对路的品种。</w:t>
      </w:r>
    </w:p>
    <w:p>
      <w:pPr>
        <w:pStyle w:val="109"/>
        <w:numPr>
          <w:ilvl w:val="1"/>
          <w:numId w:val="0"/>
        </w:numPr>
        <w:spacing w:before="312" w:after="312"/>
        <w:rPr>
          <w:rFonts w:hint="eastAsia"/>
          <w:lang w:val="en-US" w:eastAsia="zh-CN"/>
        </w:rPr>
      </w:pPr>
      <w:r>
        <w:rPr>
          <w:rFonts w:hint="eastAsia" w:ascii="黑体" w:hAnsi="Times New Roman" w:eastAsia="黑体" w:cs="Times New Roman"/>
          <w:b w:val="0"/>
          <w:i w:val="0"/>
          <w:sz w:val="21"/>
          <w:lang w:val="en-US" w:eastAsia="zh-CN" w:bidi="ar-SA"/>
        </w:rPr>
        <w:t>7　</w:t>
      </w:r>
      <w:r>
        <w:rPr>
          <w:rFonts w:hint="eastAsia"/>
        </w:rPr>
        <w:t>种球</w:t>
      </w:r>
      <w:r>
        <w:rPr>
          <w:rFonts w:hint="eastAsia"/>
          <w:lang w:eastAsia="zh-CN"/>
        </w:rPr>
        <w:t>准备</w:t>
      </w:r>
    </w:p>
    <w:p>
      <w:pPr>
        <w:pStyle w:val="61"/>
        <w:widowControl/>
        <w:autoSpaceDE/>
        <w:autoSpaceDN/>
        <w:snapToGrid/>
        <w:spacing w:line="400" w:lineRule="exact"/>
        <w:ind w:firstLine="0" w:firstLineChars="0"/>
        <w:jc w:val="left"/>
        <w:rPr>
          <w:rFonts w:hint="default" w:ascii="黑体" w:hAnsi="黑体" w:eastAsia="黑体" w:cs="黑体"/>
          <w:bCs w:val="0"/>
          <w:szCs w:val="21"/>
          <w:lang w:val="en-US" w:eastAsia="zh-CN"/>
        </w:rPr>
      </w:pPr>
      <w:r>
        <w:rPr>
          <w:rFonts w:hint="eastAsia" w:ascii="黑体" w:hAnsi="黑体" w:eastAsia="黑体" w:cs="黑体"/>
          <w:bCs w:val="0"/>
          <w:szCs w:val="21"/>
          <w:lang w:val="en-US" w:eastAsia="zh-CN"/>
        </w:rPr>
        <w:t>7</w:t>
      </w:r>
      <w:r>
        <w:rPr>
          <w:rFonts w:hint="default" w:ascii="黑体" w:hAnsi="黑体" w:eastAsia="黑体" w:cs="黑体"/>
          <w:bCs w:val="0"/>
          <w:szCs w:val="21"/>
          <w:lang w:val="en-US" w:eastAsia="zh-CN"/>
        </w:rPr>
        <w:t xml:space="preserve">.1 </w:t>
      </w:r>
      <w:r>
        <w:rPr>
          <w:rFonts w:hint="eastAsia" w:ascii="黑体" w:hAnsi="黑体" w:eastAsia="黑体" w:cs="黑体"/>
          <w:bCs w:val="0"/>
          <w:szCs w:val="21"/>
          <w:lang w:val="en-US" w:eastAsia="zh-CN"/>
        </w:rPr>
        <w:t>优质种球标准</w:t>
      </w:r>
    </w:p>
    <w:p>
      <w:pPr>
        <w:pStyle w:val="60"/>
        <w:bidi w:val="0"/>
        <w:rPr>
          <w:rFonts w:hint="eastAsia"/>
          <w:lang w:val="en-US" w:eastAsia="zh-CN"/>
        </w:rPr>
      </w:pPr>
      <w:r>
        <w:rPr>
          <w:rFonts w:hint="eastAsia"/>
          <w:lang w:val="en-US" w:eastAsia="zh-CN"/>
        </w:rPr>
        <w:t>周径14cm～20cm，种球新鲜饱满、鳞片紧实完整、无病虫、基盘根粗壮、数量多。种球茎眼修复良好，芽粗壮，在适宜温度条件下能快速发芽。</w:t>
      </w:r>
    </w:p>
    <w:p>
      <w:pPr>
        <w:pStyle w:val="61"/>
        <w:autoSpaceDE/>
        <w:autoSpaceDN/>
        <w:spacing w:line="400" w:lineRule="exact"/>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7</w:t>
      </w:r>
      <w:r>
        <w:rPr>
          <w:rFonts w:hint="default" w:ascii="黑体" w:hAnsi="黑体" w:eastAsia="黑体" w:cs="黑体"/>
          <w:szCs w:val="21"/>
          <w:lang w:val="en-US" w:eastAsia="zh-CN"/>
        </w:rPr>
        <w:t>.2</w:t>
      </w:r>
      <w:r>
        <w:rPr>
          <w:rFonts w:hint="eastAsia" w:ascii="黑体" w:hAnsi="黑体" w:eastAsia="黑体" w:cs="黑体"/>
          <w:szCs w:val="21"/>
        </w:rPr>
        <w:t xml:space="preserve"> </w:t>
      </w:r>
      <w:r>
        <w:rPr>
          <w:rFonts w:hint="eastAsia" w:ascii="黑体" w:hAnsi="黑体" w:eastAsia="黑体" w:cs="黑体"/>
          <w:szCs w:val="21"/>
          <w:lang w:val="en-US" w:eastAsia="zh-CN"/>
        </w:rPr>
        <w:t>种球解冻</w:t>
      </w:r>
    </w:p>
    <w:p>
      <w:pPr>
        <w:pStyle w:val="60"/>
        <w:bidi w:val="0"/>
        <w:rPr>
          <w:rFonts w:hint="eastAsia"/>
          <w:lang w:val="en-US" w:eastAsia="zh-CN"/>
        </w:rPr>
      </w:pPr>
      <w:r>
        <w:rPr>
          <w:rFonts w:hint="eastAsia"/>
          <w:lang w:val="en-US" w:eastAsia="zh-CN"/>
        </w:rPr>
        <w:t>种球运抵生产基地及时打开包装，处于冷冻状态的种球，置于10℃～15℃的遮荫环境中缓慢解冻，解冻后的种球应立即种植。</w:t>
      </w:r>
    </w:p>
    <w:p>
      <w:pPr>
        <w:pStyle w:val="61"/>
        <w:spacing w:line="400" w:lineRule="exact"/>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7.3 种球消毒</w:t>
      </w:r>
    </w:p>
    <w:p>
      <w:pPr>
        <w:pStyle w:val="60"/>
        <w:bidi w:val="0"/>
        <w:rPr>
          <w:rFonts w:hint="eastAsia"/>
          <w:lang w:val="en-US" w:eastAsia="zh-CN"/>
        </w:rPr>
      </w:pPr>
      <w:r>
        <w:rPr>
          <w:rFonts w:hint="eastAsia"/>
          <w:lang w:val="en-US" w:eastAsia="zh-CN"/>
        </w:rPr>
        <w:t>种球种植前应进行消毒处理，可用50%咪鲜胺锰盐1000倍液+0.3%印楝素500倍液+39℃～40℃温水消毒2h。</w:t>
      </w:r>
    </w:p>
    <w:p>
      <w:pPr>
        <w:pStyle w:val="61"/>
        <w:spacing w:line="400" w:lineRule="exact"/>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7.4 低温催芽</w:t>
      </w:r>
    </w:p>
    <w:p>
      <w:pPr>
        <w:pStyle w:val="60"/>
        <w:keepNext w:val="0"/>
        <w:keepLines w:val="0"/>
        <w:widowControl/>
        <w:suppressLineNumbers w:val="0"/>
        <w:jc w:val="left"/>
      </w:pPr>
      <w:r>
        <w:rPr>
          <w:rFonts w:hint="eastAsia" w:ascii="Calibri" w:hAnsi="Calibri" w:eastAsia="宋体" w:cs="Times New Roman"/>
          <w:color w:val="000000"/>
          <w:kern w:val="0"/>
          <w:sz w:val="21"/>
          <w:szCs w:val="21"/>
          <w:lang w:val="en-US" w:eastAsia="zh-CN" w:bidi="ar"/>
        </w:rPr>
        <w:t>定植前</w:t>
      </w:r>
      <w:r>
        <w:rPr>
          <w:rFonts w:hint="eastAsia" w:cs="Times New Roman"/>
          <w:color w:val="000000"/>
          <w:kern w:val="0"/>
          <w:sz w:val="21"/>
          <w:szCs w:val="21"/>
          <w:lang w:val="en-US" w:eastAsia="zh-CN" w:bidi="ar"/>
        </w:rPr>
        <w:t>将种球</w:t>
      </w:r>
      <w:r>
        <w:rPr>
          <w:rFonts w:hint="eastAsia" w:ascii="Calibri" w:hAnsi="Calibri" w:eastAsia="宋体" w:cs="Times New Roman"/>
          <w:color w:val="000000"/>
          <w:kern w:val="0"/>
          <w:sz w:val="21"/>
          <w:szCs w:val="21"/>
          <w:lang w:val="en-US" w:eastAsia="zh-CN" w:bidi="ar"/>
        </w:rPr>
        <w:t>放在12℃～15℃</w:t>
      </w:r>
      <w:r>
        <w:rPr>
          <w:rFonts w:hint="eastAsia" w:cs="Times New Roman"/>
          <w:color w:val="000000"/>
          <w:kern w:val="0"/>
          <w:sz w:val="21"/>
          <w:szCs w:val="21"/>
          <w:lang w:val="en-US" w:eastAsia="zh-CN" w:bidi="ar"/>
        </w:rPr>
        <w:t>低</w:t>
      </w:r>
      <w:r>
        <w:rPr>
          <w:rFonts w:hint="eastAsia" w:ascii="Calibri" w:hAnsi="Calibri" w:eastAsia="宋体" w:cs="Times New Roman"/>
          <w:color w:val="000000"/>
          <w:kern w:val="0"/>
          <w:sz w:val="21"/>
          <w:szCs w:val="21"/>
          <w:lang w:val="en-US" w:eastAsia="zh-CN" w:bidi="ar"/>
        </w:rPr>
        <w:t>温条件下催芽10 d～15 d，芽长不宜超过3 cm～5 cm。</w:t>
      </w:r>
    </w:p>
    <w:p>
      <w:pPr>
        <w:pStyle w:val="109"/>
        <w:numPr>
          <w:ilvl w:val="1"/>
          <w:numId w:val="0"/>
        </w:numPr>
        <w:spacing w:before="312" w:after="312"/>
        <w:rPr>
          <w:rFonts w:hint="eastAsia" w:ascii="黑体" w:hAnsi="Times New Roman" w:eastAsia="黑体" w:cs="Times New Roman"/>
          <w:szCs w:val="20"/>
          <w:lang w:val="en-US" w:eastAsia="zh-CN"/>
        </w:rPr>
      </w:pPr>
      <w:r>
        <w:rPr>
          <w:rFonts w:hint="eastAsia" w:ascii="黑体" w:hAnsi="Times New Roman" w:eastAsia="黑体" w:cs="Times New Roman"/>
          <w:b w:val="0"/>
          <w:i w:val="0"/>
          <w:sz w:val="21"/>
          <w:szCs w:val="20"/>
          <w:lang w:val="en-US" w:eastAsia="zh-CN" w:bidi="ar-SA"/>
        </w:rPr>
        <w:t>8　</w:t>
      </w:r>
      <w:r>
        <w:rPr>
          <w:rFonts w:hint="eastAsia" w:ascii="黑体" w:hAnsi="Times New Roman" w:eastAsia="黑体" w:cs="Times New Roman"/>
          <w:szCs w:val="20"/>
          <w:lang w:val="en-US" w:eastAsia="zh-CN"/>
        </w:rPr>
        <w:t>土壤改良</w:t>
      </w:r>
    </w:p>
    <w:p>
      <w:pPr>
        <w:pStyle w:val="61"/>
        <w:spacing w:line="400" w:lineRule="exact"/>
        <w:ind w:firstLine="0" w:firstLineChars="0"/>
        <w:rPr>
          <w:rFonts w:hint="eastAsia" w:ascii="黑体" w:hAnsi="黑体" w:eastAsia="黑体" w:cs="黑体"/>
          <w:b w:val="0"/>
          <w:bCs w:val="0"/>
          <w:szCs w:val="21"/>
        </w:rPr>
      </w:pPr>
      <w:r>
        <w:rPr>
          <w:rFonts w:hint="eastAsia" w:ascii="黑体" w:hAnsi="黑体" w:eastAsia="黑体" w:cs="黑体"/>
          <w:b w:val="0"/>
          <w:bCs w:val="0"/>
          <w:szCs w:val="21"/>
          <w:lang w:val="en-US" w:eastAsia="zh-CN"/>
        </w:rPr>
        <w:t>8.1</w:t>
      </w:r>
      <w:r>
        <w:rPr>
          <w:rFonts w:hint="eastAsia" w:ascii="黑体" w:hAnsi="黑体" w:eastAsia="黑体" w:cs="黑体"/>
          <w:b w:val="0"/>
          <w:bCs w:val="0"/>
          <w:szCs w:val="21"/>
        </w:rPr>
        <w:t>土壤pH值调整</w:t>
      </w:r>
    </w:p>
    <w:p>
      <w:pPr>
        <w:pStyle w:val="60"/>
        <w:bidi w:val="0"/>
        <w:rPr>
          <w:rFonts w:hint="eastAsia"/>
          <w:lang w:val="en-US" w:eastAsia="zh-CN"/>
        </w:rPr>
      </w:pPr>
      <w:r>
        <w:rPr>
          <w:rFonts w:hint="eastAsia"/>
          <w:lang w:val="en-US" w:eastAsia="zh-CN"/>
        </w:rPr>
        <w:t>土壤pH值</w:t>
      </w:r>
      <w:r>
        <w:rPr>
          <w:rFonts w:hint="eastAsia" w:ascii="宋体" w:hAnsi="宋体" w:eastAsia="宋体" w:cs="宋体"/>
          <w:lang w:val="en-US" w:eastAsia="zh-CN"/>
        </w:rPr>
        <w:t>≧</w:t>
      </w:r>
      <w:r>
        <w:rPr>
          <w:rFonts w:hint="eastAsia" w:ascii="宋体" w:hAnsi="宋体" w:cs="宋体"/>
          <w:lang w:val="en-US" w:eastAsia="zh-CN"/>
        </w:rPr>
        <w:t>7.5</w:t>
      </w:r>
      <w:r>
        <w:rPr>
          <w:rFonts w:hint="eastAsia"/>
          <w:lang w:val="en-US" w:eastAsia="zh-CN"/>
        </w:rPr>
        <w:t>，可施用硫磺粉、专用土壤调理剂、生理酸性肥料将PH值调整至5.5～7.5；</w:t>
      </w:r>
    </w:p>
    <w:p>
      <w:pPr>
        <w:pStyle w:val="60"/>
        <w:bidi w:val="0"/>
        <w:rPr>
          <w:rFonts w:hint="eastAsia"/>
          <w:lang w:val="en-US" w:eastAsia="zh-CN"/>
        </w:rPr>
      </w:pPr>
      <w:r>
        <w:rPr>
          <w:rFonts w:hint="eastAsia"/>
          <w:lang w:val="en-US" w:eastAsia="zh-CN"/>
        </w:rPr>
        <w:t>土壤pH值</w:t>
      </w:r>
      <w:r>
        <w:rPr>
          <w:rFonts w:hint="eastAsia" w:ascii="宋体" w:hAnsi="宋体" w:eastAsia="宋体" w:cs="宋体"/>
          <w:lang w:val="en-US" w:eastAsia="zh-CN"/>
        </w:rPr>
        <w:t>≦</w:t>
      </w:r>
      <w:r>
        <w:rPr>
          <w:rFonts w:hint="eastAsia" w:ascii="宋体" w:hAnsi="宋体" w:cs="宋体"/>
          <w:lang w:val="en-US" w:eastAsia="zh-CN"/>
        </w:rPr>
        <w:t>5.5</w:t>
      </w:r>
      <w:r>
        <w:rPr>
          <w:rFonts w:hint="eastAsia"/>
          <w:lang w:val="en-US" w:eastAsia="zh-CN"/>
        </w:rPr>
        <w:t>，可施用熟石灰、专用土壤调理剂、生理碱性肥料将PH值调整至5.5～7.5。</w:t>
      </w:r>
    </w:p>
    <w:p>
      <w:pPr>
        <w:pStyle w:val="61"/>
        <w:spacing w:line="400" w:lineRule="exact"/>
        <w:ind w:firstLine="0" w:firstLineChars="0"/>
        <w:rPr>
          <w:rFonts w:hint="eastAsia" w:ascii="黑体" w:hAnsi="黑体" w:eastAsia="黑体" w:cs="黑体"/>
          <w:b w:val="0"/>
          <w:bCs w:val="0"/>
          <w:szCs w:val="21"/>
          <w:lang w:eastAsia="zh-CN"/>
        </w:rPr>
      </w:pPr>
      <w:r>
        <w:rPr>
          <w:rFonts w:hint="eastAsia" w:ascii="黑体" w:hAnsi="黑体" w:eastAsia="黑体" w:cs="黑体"/>
          <w:b w:val="0"/>
          <w:bCs w:val="0"/>
          <w:szCs w:val="21"/>
          <w:lang w:val="en-US" w:eastAsia="zh-CN"/>
        </w:rPr>
        <w:t>8.2</w:t>
      </w:r>
      <w:r>
        <w:rPr>
          <w:rFonts w:hint="eastAsia" w:ascii="黑体" w:hAnsi="黑体" w:eastAsia="黑体" w:cs="黑体"/>
          <w:b w:val="0"/>
          <w:bCs w:val="0"/>
          <w:szCs w:val="21"/>
        </w:rPr>
        <w:t xml:space="preserve"> </w:t>
      </w:r>
      <w:r>
        <w:rPr>
          <w:rFonts w:hint="eastAsia" w:ascii="黑体" w:hAnsi="黑体" w:eastAsia="黑体" w:cs="黑体"/>
          <w:szCs w:val="21"/>
          <w:lang w:val="en-US" w:eastAsia="zh-CN"/>
        </w:rPr>
        <w:t>EC值</w:t>
      </w:r>
      <w:r>
        <w:rPr>
          <w:rFonts w:hint="eastAsia" w:ascii="黑体" w:hAnsi="黑体" w:eastAsia="黑体" w:cs="黑体"/>
          <w:b w:val="0"/>
          <w:bCs w:val="0"/>
          <w:szCs w:val="21"/>
          <w:lang w:eastAsia="zh-CN"/>
        </w:rPr>
        <w:t>调整</w:t>
      </w:r>
    </w:p>
    <w:p>
      <w:pPr>
        <w:pStyle w:val="60"/>
        <w:bidi w:val="0"/>
        <w:ind w:firstLine="420"/>
        <w:rPr>
          <w:rFonts w:hint="eastAsia"/>
          <w:lang w:val="en-US" w:eastAsia="zh-CN"/>
        </w:rPr>
      </w:pPr>
      <w:r>
        <w:rPr>
          <w:rFonts w:hint="eastAsia"/>
          <w:lang w:val="en-US" w:eastAsia="zh-CN"/>
        </w:rPr>
        <w:t>EC值</w:t>
      </w:r>
      <w:r>
        <w:rPr>
          <w:rFonts w:hint="eastAsia" w:ascii="宋体" w:hAnsi="宋体" w:eastAsia="宋体" w:cs="宋体"/>
          <w:lang w:val="en-US" w:eastAsia="zh-CN"/>
        </w:rPr>
        <w:t>≧</w:t>
      </w:r>
      <w:r>
        <w:rPr>
          <w:rFonts w:hint="eastAsia"/>
          <w:lang w:val="en-US" w:eastAsia="zh-CN"/>
        </w:rPr>
        <w:t>1.0mS/cm的土壤，深翻，地块四周做埂挡水，挖渗水沟，大水漫灌浸田2d～3d，水渗下后再灌水浸泡，反复多次，至EC值</w:t>
      </w:r>
      <w:r>
        <w:rPr>
          <w:rFonts w:hint="eastAsia" w:ascii="宋体" w:hAnsi="宋体" w:eastAsia="宋体" w:cs="宋体"/>
          <w:lang w:val="en-US" w:eastAsia="zh-CN"/>
        </w:rPr>
        <w:t>&lt;</w:t>
      </w:r>
      <w:r>
        <w:rPr>
          <w:rFonts w:hint="eastAsia"/>
          <w:lang w:val="en-US" w:eastAsia="zh-CN"/>
        </w:rPr>
        <w:t>1.0mS/cm。</w:t>
      </w:r>
    </w:p>
    <w:p>
      <w:pPr>
        <w:pStyle w:val="61"/>
        <w:spacing w:line="400" w:lineRule="exact"/>
        <w:ind w:firstLine="0" w:firstLineChars="0"/>
        <w:rPr>
          <w:rFonts w:hint="eastAsia" w:ascii="黑体" w:hAnsi="黑体" w:eastAsia="黑体" w:cs="黑体"/>
          <w:b w:val="0"/>
          <w:bCs w:val="0"/>
          <w:szCs w:val="21"/>
        </w:rPr>
      </w:pPr>
      <w:r>
        <w:rPr>
          <w:rFonts w:hint="eastAsia" w:ascii="黑体" w:hAnsi="黑体" w:eastAsia="黑体" w:cs="黑体"/>
          <w:b w:val="0"/>
          <w:bCs w:val="0"/>
          <w:szCs w:val="21"/>
          <w:lang w:val="en-US" w:eastAsia="zh-CN"/>
        </w:rPr>
        <w:t>8.3</w:t>
      </w:r>
      <w:r>
        <w:rPr>
          <w:rFonts w:hint="eastAsia" w:ascii="黑体" w:hAnsi="黑体" w:eastAsia="黑体" w:cs="黑体"/>
          <w:b w:val="0"/>
          <w:bCs w:val="0"/>
          <w:szCs w:val="21"/>
        </w:rPr>
        <w:t xml:space="preserve"> 增施有机质</w:t>
      </w:r>
    </w:p>
    <w:p>
      <w:pPr>
        <w:pStyle w:val="60"/>
        <w:bidi w:val="0"/>
        <w:rPr>
          <w:rFonts w:hint="eastAsia"/>
          <w:lang w:val="en-US" w:eastAsia="zh-CN"/>
        </w:rPr>
      </w:pPr>
      <w:r>
        <w:rPr>
          <w:rFonts w:hint="eastAsia"/>
          <w:lang w:val="en-US" w:eastAsia="zh-CN"/>
        </w:rPr>
        <w:t>施入充分腐熟的动物粪便、作物秸秆、草炭等，使土壤有机质含量达到</w:t>
      </w:r>
      <w:r>
        <w:rPr>
          <w:rFonts w:hint="eastAsia"/>
          <w:color w:val="auto"/>
          <w:lang w:val="en-US" w:eastAsia="zh-CN"/>
        </w:rPr>
        <w:t>20g/kg</w:t>
      </w:r>
      <w:r>
        <w:rPr>
          <w:rFonts w:hint="eastAsia"/>
          <w:lang w:val="en-US" w:eastAsia="zh-CN"/>
        </w:rPr>
        <w:t>以上。</w:t>
      </w:r>
    </w:p>
    <w:p>
      <w:pPr>
        <w:pStyle w:val="109"/>
        <w:numPr>
          <w:ilvl w:val="1"/>
          <w:numId w:val="0"/>
        </w:numPr>
        <w:spacing w:before="312" w:after="312"/>
        <w:rPr>
          <w:rFonts w:hint="eastAsia" w:ascii="黑体" w:hAnsi="Times New Roman" w:eastAsia="黑体" w:cs="Times New Roman"/>
          <w:szCs w:val="20"/>
          <w:lang w:val="en-US" w:eastAsia="zh-CN"/>
        </w:rPr>
      </w:pPr>
      <w:r>
        <w:rPr>
          <w:rFonts w:hint="eastAsia" w:ascii="黑体" w:hAnsi="Times New Roman" w:eastAsia="黑体" w:cs="Times New Roman"/>
          <w:b w:val="0"/>
          <w:i w:val="0"/>
          <w:sz w:val="21"/>
          <w:szCs w:val="20"/>
          <w:lang w:val="en-US" w:eastAsia="zh-CN" w:bidi="ar-SA"/>
        </w:rPr>
        <w:t>9　</w:t>
      </w:r>
      <w:r>
        <w:rPr>
          <w:rFonts w:hint="eastAsia" w:ascii="黑体" w:hAnsi="Times New Roman" w:eastAsia="黑体" w:cs="Times New Roman"/>
          <w:szCs w:val="20"/>
          <w:lang w:val="en-US" w:eastAsia="zh-CN"/>
        </w:rPr>
        <w:t>土壤消毒</w:t>
      </w:r>
    </w:p>
    <w:p>
      <w:pPr>
        <w:pStyle w:val="60"/>
        <w:bidi w:val="0"/>
        <w:rPr>
          <w:rFonts w:hint="default"/>
          <w:lang w:val="en-US" w:eastAsia="zh-CN"/>
        </w:rPr>
      </w:pPr>
      <w:r>
        <w:rPr>
          <w:rFonts w:hint="eastAsia"/>
          <w:lang w:val="en-US" w:eastAsia="zh-CN"/>
        </w:rPr>
        <w:t>种植百合的土壤每年用98%棉隆消毒一次。具体做法：消毒前清洁田园，施入腐熟农家肥，喷水增加土壤湿度，使土壤含水量达到60%，5天后翻松土壤。每667㎡用量20kg～25kg，消毒剂均匀撒在土壤表面，将药剂与土壤拌匀，浇水增湿，立即覆盖塑料，四周压实密闭，保持塑料膜下空气温度25℃以上20d～30d。揭膜通风10d～15d，松土1次～2次，取土样进行发芽测试，安全后方可种植。</w:t>
      </w:r>
    </w:p>
    <w:p>
      <w:pPr>
        <w:pStyle w:val="109"/>
        <w:numPr>
          <w:ilvl w:val="1"/>
          <w:numId w:val="0"/>
        </w:numPr>
        <w:spacing w:before="312" w:after="312"/>
        <w:rPr>
          <w:rFonts w:hint="eastAsia" w:ascii="黑体" w:hAnsi="Times New Roman" w:eastAsia="黑体" w:cs="Times New Roman"/>
          <w:szCs w:val="20"/>
          <w:lang w:val="en-US" w:eastAsia="zh-CN"/>
        </w:rPr>
      </w:pPr>
      <w:r>
        <w:rPr>
          <w:rFonts w:hint="eastAsia" w:ascii="黑体" w:hAnsi="Times New Roman" w:eastAsia="黑体" w:cs="Times New Roman"/>
          <w:b w:val="0"/>
          <w:i w:val="0"/>
          <w:sz w:val="21"/>
          <w:szCs w:val="20"/>
          <w:lang w:val="en-US" w:eastAsia="zh-CN" w:bidi="ar-SA"/>
        </w:rPr>
        <w:t>10　</w:t>
      </w:r>
      <w:r>
        <w:rPr>
          <w:rFonts w:hint="eastAsia" w:ascii="黑体" w:hAnsi="Times New Roman" w:eastAsia="黑体" w:cs="Times New Roman"/>
          <w:szCs w:val="20"/>
          <w:lang w:val="en-US" w:eastAsia="zh-CN"/>
        </w:rPr>
        <w:t>基质</w:t>
      </w:r>
      <w:r>
        <w:rPr>
          <w:rFonts w:hint="eastAsia" w:ascii="黑体" w:hAnsi="Times New Roman" w:eastAsia="黑体" w:cs="Times New Roman"/>
          <w:b w:val="0"/>
          <w:bCs w:val="0"/>
          <w:szCs w:val="20"/>
          <w:lang w:val="en-US" w:eastAsia="zh-CN"/>
        </w:rPr>
        <w:t>栽培</w:t>
      </w:r>
    </w:p>
    <w:p>
      <w:pPr>
        <w:pStyle w:val="61"/>
        <w:spacing w:line="400" w:lineRule="exact"/>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10.1 基质要求</w:t>
      </w:r>
    </w:p>
    <w:p>
      <w:pPr>
        <w:ind w:firstLine="420" w:firstLineChars="200"/>
        <w:rPr>
          <w:rFonts w:hint="eastAsia"/>
          <w:lang w:val="en-US" w:eastAsia="zh-CN"/>
        </w:rPr>
      </w:pPr>
      <w:r>
        <w:rPr>
          <w:rFonts w:hint="eastAsia"/>
          <w:lang w:val="en-US" w:eastAsia="zh-CN"/>
        </w:rPr>
        <w:t>富含有机质，疏松透气，具有良好的保水保肥性能，pH值5.5～7.5。</w:t>
      </w:r>
    </w:p>
    <w:p>
      <w:pPr>
        <w:pStyle w:val="61"/>
        <w:spacing w:line="400" w:lineRule="exact"/>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10.2 基质配制</w:t>
      </w:r>
    </w:p>
    <w:p>
      <w:pPr>
        <w:ind w:firstLine="420" w:firstLineChars="200"/>
        <w:rPr>
          <w:rFonts w:hint="default"/>
          <w:lang w:val="en-US" w:eastAsia="zh-CN"/>
        </w:rPr>
      </w:pPr>
      <w:r>
        <w:rPr>
          <w:rFonts w:hint="eastAsia"/>
          <w:lang w:val="en-US" w:eastAsia="zh-CN"/>
        </w:rPr>
        <w:t>用草炭:珍珠岩按照3:1体积比例配制。</w:t>
      </w:r>
    </w:p>
    <w:p>
      <w:pPr>
        <w:pStyle w:val="61"/>
        <w:spacing w:line="400" w:lineRule="exact"/>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10.3 基质消毒</w:t>
      </w:r>
    </w:p>
    <w:p>
      <w:pPr>
        <w:pStyle w:val="60"/>
        <w:bidi w:val="0"/>
      </w:pPr>
      <w:r>
        <w:rPr>
          <w:rFonts w:hint="eastAsia"/>
          <w:lang w:val="en-US" w:eastAsia="zh-CN"/>
        </w:rPr>
        <w:t>蒸汽消毒：将蒸汽通到20cm～25cm深的土层中，使土壤温度达到78℃～80℃，保持1h以上。</w:t>
      </w:r>
    </w:p>
    <w:p>
      <w:pPr>
        <w:ind w:firstLine="420"/>
        <w:rPr>
          <w:rFonts w:hint="eastAsia"/>
          <w:lang w:val="en-US" w:eastAsia="zh-CN"/>
        </w:rPr>
      </w:pPr>
      <w:r>
        <w:rPr>
          <w:rFonts w:hint="eastAsia"/>
          <w:lang w:val="en-US" w:eastAsia="zh-CN"/>
        </w:rPr>
        <w:t>化学消毒：基质混拌均匀保持含水量60%，加入98%棉隆0.5kg/m</w:t>
      </w:r>
      <w:r>
        <w:rPr>
          <w:rFonts w:hint="eastAsia"/>
          <w:vertAlign w:val="superscript"/>
          <w:lang w:val="en-US" w:eastAsia="zh-CN"/>
        </w:rPr>
        <w:t>3</w:t>
      </w:r>
      <w:r>
        <w:rPr>
          <w:rFonts w:hint="eastAsia"/>
          <w:lang w:val="en-US" w:eastAsia="zh-CN"/>
        </w:rPr>
        <w:t>～1kg/m</w:t>
      </w:r>
      <w:r>
        <w:rPr>
          <w:rFonts w:hint="eastAsia"/>
          <w:vertAlign w:val="superscript"/>
          <w:lang w:val="en-US" w:eastAsia="zh-CN"/>
        </w:rPr>
        <w:t>3</w:t>
      </w:r>
      <w:r>
        <w:rPr>
          <w:rFonts w:hint="eastAsia"/>
          <w:lang w:val="en-US" w:eastAsia="zh-CN"/>
        </w:rPr>
        <w:t>，混拌均匀后用塑料膜盖严，四周压实密闭，保持塑料膜下空气温度25℃以上20d～30d。揭膜通风10d～15d。</w:t>
      </w:r>
    </w:p>
    <w:p>
      <w:pPr>
        <w:pStyle w:val="61"/>
        <w:autoSpaceDE w:val="0"/>
        <w:autoSpaceDN w:val="0"/>
        <w:spacing w:line="400" w:lineRule="exact"/>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10.4 种植容器</w:t>
      </w:r>
      <w:bookmarkStart w:id="32" w:name="_Hlk144479439"/>
    </w:p>
    <w:p>
      <w:pPr>
        <w:ind w:firstLine="420"/>
        <w:rPr>
          <w:rFonts w:hint="eastAsia"/>
          <w:lang w:val="en-US" w:eastAsia="zh-CN"/>
        </w:rPr>
      </w:pPr>
      <w:r>
        <w:rPr>
          <w:rFonts w:hint="eastAsia"/>
          <w:lang w:val="en-US" w:eastAsia="zh-CN"/>
        </w:rPr>
        <w:t>容器</w:t>
      </w:r>
      <w:bookmarkEnd w:id="32"/>
      <w:r>
        <w:rPr>
          <w:rFonts w:hint="eastAsia"/>
          <w:lang w:val="en-US" w:eastAsia="zh-CN"/>
        </w:rPr>
        <w:t>材质可以选择塑料、金属、木材、砖石砌筑等，容器装填基质的深度不低于20cm，底部留排水孔，形状无特殊要求，满足栽培要求即可。</w:t>
      </w:r>
    </w:p>
    <w:p>
      <w:pPr>
        <w:pStyle w:val="109"/>
        <w:numPr>
          <w:ilvl w:val="1"/>
          <w:numId w:val="0"/>
        </w:numPr>
        <w:spacing w:line="360" w:lineRule="auto"/>
        <w:ind w:firstLineChars="0"/>
        <w:rPr>
          <w:rFonts w:hint="eastAsia" w:ascii="黑体" w:hAnsi="Times New Roman" w:eastAsia="黑体" w:cs="Times New Roman"/>
          <w:szCs w:val="20"/>
          <w:lang w:val="en-US" w:eastAsia="zh-CN"/>
        </w:rPr>
      </w:pPr>
      <w:r>
        <w:rPr>
          <w:rFonts w:hint="eastAsia" w:cs="Times New Roman"/>
          <w:b w:val="0"/>
          <w:i w:val="0"/>
          <w:sz w:val="21"/>
          <w:szCs w:val="20"/>
          <w:lang w:val="en-US" w:eastAsia="zh-CN" w:bidi="ar-SA"/>
        </w:rPr>
        <w:t>11</w:t>
      </w:r>
      <w:r>
        <w:rPr>
          <w:rFonts w:hint="eastAsia" w:ascii="黑体" w:hAnsi="Times New Roman" w:eastAsia="黑体" w:cs="Times New Roman"/>
          <w:b w:val="0"/>
          <w:i w:val="0"/>
          <w:sz w:val="21"/>
          <w:szCs w:val="20"/>
          <w:lang w:val="en-US" w:eastAsia="zh-CN" w:bidi="ar-SA"/>
        </w:rPr>
        <w:t>　</w:t>
      </w:r>
      <w:r>
        <w:rPr>
          <w:rFonts w:hint="eastAsia" w:ascii="黑体" w:hAnsi="Times New Roman" w:eastAsia="黑体" w:cs="Times New Roman"/>
          <w:szCs w:val="20"/>
          <w:lang w:val="en-US" w:eastAsia="zh-CN"/>
        </w:rPr>
        <w:t>基肥</w:t>
      </w:r>
    </w:p>
    <w:p>
      <w:pPr>
        <w:pStyle w:val="60"/>
        <w:bidi w:val="0"/>
        <w:rPr>
          <w:rFonts w:hint="eastAsia"/>
          <w:lang w:val="en-US" w:eastAsia="zh-CN"/>
        </w:rPr>
      </w:pPr>
      <w:r>
        <w:rPr>
          <w:rFonts w:hint="eastAsia"/>
          <w:lang w:val="en-US" w:eastAsia="zh-CN"/>
        </w:rPr>
        <w:t>每667㎡土地施入完全腐熟的有机肥2000kg～3000kg，复合肥（N:P</w:t>
      </w:r>
      <w:r>
        <w:rPr>
          <w:rFonts w:hint="eastAsia"/>
          <w:vertAlign w:val="subscript"/>
          <w:lang w:val="en-US" w:eastAsia="zh-CN"/>
        </w:rPr>
        <w:t>2</w:t>
      </w:r>
      <w:r>
        <w:rPr>
          <w:rFonts w:hint="eastAsia"/>
          <w:lang w:val="en-US" w:eastAsia="zh-CN"/>
        </w:rPr>
        <w:t>O</w:t>
      </w:r>
      <w:r>
        <w:rPr>
          <w:rFonts w:hint="eastAsia"/>
          <w:vertAlign w:val="subscript"/>
          <w:lang w:val="en-US" w:eastAsia="zh-CN"/>
        </w:rPr>
        <w:t>5</w:t>
      </w:r>
      <w:r>
        <w:rPr>
          <w:rFonts w:hint="eastAsia"/>
          <w:lang w:val="en-US" w:eastAsia="zh-CN"/>
        </w:rPr>
        <w:t>:K</w:t>
      </w:r>
      <w:r>
        <w:rPr>
          <w:rFonts w:hint="eastAsia"/>
          <w:vertAlign w:val="subscript"/>
          <w:lang w:val="en-US" w:eastAsia="zh-CN"/>
        </w:rPr>
        <w:t>2</w:t>
      </w:r>
      <w:r>
        <w:rPr>
          <w:rFonts w:hint="eastAsia"/>
          <w:lang w:val="en-US" w:eastAsia="zh-CN"/>
        </w:rPr>
        <w:t>O=16:8:18）30kg～50kg，过磷酸钙15kg～25kg；基质栽培：1m</w:t>
      </w:r>
      <w:r>
        <w:rPr>
          <w:rFonts w:hint="eastAsia"/>
          <w:vertAlign w:val="superscript"/>
          <w:lang w:val="en-US" w:eastAsia="zh-CN"/>
        </w:rPr>
        <w:t>3</w:t>
      </w:r>
      <w:r>
        <w:rPr>
          <w:rFonts w:hint="eastAsia"/>
          <w:vertAlign w:val="baseline"/>
          <w:lang w:val="en-US" w:eastAsia="zh-CN"/>
        </w:rPr>
        <w:t>基质</w:t>
      </w:r>
      <w:r>
        <w:rPr>
          <w:rFonts w:hint="eastAsia"/>
          <w:lang w:val="en-US" w:eastAsia="zh-CN"/>
        </w:rPr>
        <w:t>拌入充分腐熟的有机肥15kg～20kg，复合肥（N:P</w:t>
      </w:r>
      <w:r>
        <w:rPr>
          <w:rFonts w:hint="eastAsia"/>
          <w:vertAlign w:val="subscript"/>
          <w:lang w:val="en-US" w:eastAsia="zh-CN"/>
        </w:rPr>
        <w:t>2</w:t>
      </w:r>
      <w:r>
        <w:rPr>
          <w:rFonts w:hint="eastAsia"/>
          <w:lang w:val="en-US" w:eastAsia="zh-CN"/>
        </w:rPr>
        <w:t>O</w:t>
      </w:r>
      <w:r>
        <w:rPr>
          <w:rFonts w:hint="eastAsia"/>
          <w:vertAlign w:val="subscript"/>
          <w:lang w:val="en-US" w:eastAsia="zh-CN"/>
        </w:rPr>
        <w:t>5</w:t>
      </w:r>
      <w:r>
        <w:rPr>
          <w:rFonts w:hint="eastAsia"/>
          <w:lang w:val="en-US" w:eastAsia="zh-CN"/>
        </w:rPr>
        <w:t>:K</w:t>
      </w:r>
      <w:r>
        <w:rPr>
          <w:rFonts w:hint="eastAsia"/>
          <w:vertAlign w:val="subscript"/>
          <w:lang w:val="en-US" w:eastAsia="zh-CN"/>
        </w:rPr>
        <w:t>2</w:t>
      </w:r>
      <w:r>
        <w:rPr>
          <w:rFonts w:hint="eastAsia"/>
          <w:lang w:val="en-US" w:eastAsia="zh-CN"/>
        </w:rPr>
        <w:t>O=16:8:18）2kg～3kg。</w:t>
      </w:r>
    </w:p>
    <w:p>
      <w:pPr>
        <w:pStyle w:val="109"/>
        <w:numPr>
          <w:ilvl w:val="1"/>
          <w:numId w:val="0"/>
        </w:numPr>
        <w:rPr>
          <w:rFonts w:hint="eastAsia" w:ascii="黑体" w:hAnsi="Times New Roman" w:eastAsia="黑体"/>
          <w:b w:val="0"/>
          <w:bCs w:val="0"/>
          <w:szCs w:val="20"/>
          <w:lang w:val="en-US" w:eastAsia="zh-CN"/>
        </w:rPr>
      </w:pPr>
      <w:r>
        <w:rPr>
          <w:rFonts w:hint="eastAsia" w:cs="Times New Roman"/>
          <w:b w:val="0"/>
          <w:bCs w:val="0"/>
          <w:i w:val="0"/>
          <w:sz w:val="21"/>
          <w:szCs w:val="20"/>
          <w:lang w:val="en-US" w:eastAsia="zh-CN" w:bidi="ar-SA"/>
        </w:rPr>
        <w:t>12</w:t>
      </w:r>
      <w:r>
        <w:rPr>
          <w:rFonts w:hint="eastAsia" w:ascii="黑体" w:hAnsi="Times New Roman" w:eastAsia="黑体" w:cs="Times New Roman"/>
          <w:b w:val="0"/>
          <w:bCs w:val="0"/>
          <w:i w:val="0"/>
          <w:sz w:val="21"/>
          <w:szCs w:val="20"/>
          <w:lang w:val="en-US" w:eastAsia="zh-CN" w:bidi="ar-SA"/>
        </w:rPr>
        <w:t>　</w:t>
      </w:r>
      <w:r>
        <w:rPr>
          <w:rFonts w:hint="eastAsia" w:ascii="黑体" w:hAnsi="Times New Roman" w:eastAsia="黑体"/>
          <w:b w:val="0"/>
          <w:bCs w:val="0"/>
          <w:szCs w:val="20"/>
          <w:lang w:val="en-US" w:eastAsia="zh-CN"/>
        </w:rPr>
        <w:t>定植</w:t>
      </w:r>
    </w:p>
    <w:p>
      <w:pPr>
        <w:pStyle w:val="61"/>
        <w:widowControl/>
        <w:snapToGrid w:val="0"/>
        <w:spacing w:line="400" w:lineRule="exact"/>
        <w:ind w:firstLine="0" w:firstLineChars="0"/>
        <w:jc w:val="left"/>
        <w:rPr>
          <w:rFonts w:hint="eastAsia" w:ascii="黑体" w:hAnsi="黑体" w:eastAsia="黑体" w:cs="黑体"/>
          <w:szCs w:val="21"/>
          <w:lang w:val="en-US" w:eastAsia="zh-CN"/>
        </w:rPr>
      </w:pPr>
      <w:r>
        <w:rPr>
          <w:rFonts w:hint="eastAsia" w:ascii="黑体" w:hAnsi="黑体" w:eastAsia="黑体" w:cs="黑体"/>
          <w:szCs w:val="21"/>
          <w:lang w:val="en-US" w:eastAsia="zh-CN"/>
        </w:rPr>
        <w:t>12.1 定植时间</w:t>
      </w:r>
    </w:p>
    <w:p>
      <w:pPr>
        <w:pStyle w:val="60"/>
        <w:bidi w:val="0"/>
        <w:rPr>
          <w:rFonts w:hint="default"/>
          <w:lang w:val="en-US" w:eastAsia="zh-CN"/>
        </w:rPr>
      </w:pPr>
      <w:r>
        <w:rPr>
          <w:rFonts w:hint="eastAsia"/>
          <w:lang w:val="en-US" w:eastAsia="zh-CN"/>
        </w:rPr>
        <w:t>综合考虑品种、切花时间、种球休眠解除情况、设施条件等因素确定定植时间。</w:t>
      </w:r>
    </w:p>
    <w:p>
      <w:pPr>
        <w:pStyle w:val="61"/>
        <w:widowControl/>
        <w:snapToGrid w:val="0"/>
        <w:spacing w:line="400" w:lineRule="exact"/>
        <w:ind w:firstLine="0" w:firstLineChars="0"/>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12</w:t>
      </w:r>
      <w:r>
        <w:rPr>
          <w:rFonts w:hint="default" w:ascii="黑体" w:hAnsi="黑体" w:eastAsia="黑体" w:cs="黑体"/>
          <w:b w:val="0"/>
          <w:bCs w:val="0"/>
          <w:szCs w:val="21"/>
          <w:lang w:val="en-US" w:eastAsia="zh-CN"/>
        </w:rPr>
        <w:t>.2</w:t>
      </w:r>
      <w:r>
        <w:rPr>
          <w:rFonts w:hint="default" w:ascii="黑体" w:hAnsi="黑体" w:eastAsia="黑体" w:cs="黑体"/>
          <w:b w:val="0"/>
          <w:bCs w:val="0"/>
          <w:szCs w:val="21"/>
        </w:rPr>
        <w:t xml:space="preserve"> </w:t>
      </w:r>
      <w:r>
        <w:rPr>
          <w:rFonts w:hint="eastAsia" w:ascii="黑体" w:hAnsi="黑体" w:eastAsia="黑体" w:cs="黑体"/>
          <w:b w:val="0"/>
          <w:bCs w:val="0"/>
          <w:szCs w:val="21"/>
          <w:lang w:val="en-US" w:eastAsia="zh-CN"/>
        </w:rPr>
        <w:t>定</w:t>
      </w:r>
      <w:r>
        <w:rPr>
          <w:rFonts w:hint="default" w:ascii="黑体" w:hAnsi="黑体" w:eastAsia="黑体" w:cs="黑体"/>
          <w:b w:val="0"/>
          <w:bCs w:val="0"/>
          <w:szCs w:val="21"/>
        </w:rPr>
        <w:t>植密度</w:t>
      </w:r>
    </w:p>
    <w:p>
      <w:pPr>
        <w:pStyle w:val="60"/>
        <w:bidi w:val="0"/>
        <w:ind w:firstLine="420" w:firstLineChars="200"/>
        <w:rPr>
          <w:rFonts w:hint="eastAsia" w:eastAsia="宋体"/>
          <w:lang w:val="en-US" w:eastAsia="zh-CN"/>
        </w:rPr>
      </w:pPr>
      <w:r>
        <w:rPr>
          <w:rFonts w:hint="eastAsia" w:ascii="Calibri" w:hAnsi="Calibri" w:eastAsia="宋体" w:cs="Times New Roman"/>
          <w:color w:val="auto"/>
          <w:kern w:val="0"/>
          <w:sz w:val="21"/>
          <w:szCs w:val="21"/>
          <w:lang w:val="en-US" w:eastAsia="zh-CN" w:bidi="ar-SA"/>
        </w:rPr>
        <w:t>百合切花生产的株距为10cm～15cm，行距为15cm</w:t>
      </w:r>
      <w:r>
        <w:rPr>
          <w:rFonts w:hint="eastAsia"/>
          <w:lang w:val="en-US" w:eastAsia="zh-CN"/>
        </w:rPr>
        <w:t>～</w:t>
      </w:r>
      <w:r>
        <w:rPr>
          <w:rFonts w:hint="eastAsia" w:ascii="Calibri" w:hAnsi="Calibri" w:eastAsia="宋体" w:cs="Times New Roman"/>
          <w:color w:val="auto"/>
          <w:kern w:val="0"/>
          <w:sz w:val="21"/>
          <w:szCs w:val="21"/>
          <w:lang w:val="en-US" w:eastAsia="zh-CN" w:bidi="ar-SA"/>
        </w:rPr>
        <w:t>20cm。</w:t>
      </w:r>
      <w:r>
        <w:rPr>
          <w:rFonts w:hint="eastAsia"/>
          <w:lang w:val="en-US" w:eastAsia="zh-CN"/>
        </w:rPr>
        <w:t>不同规格种球种植密度不同。周径</w:t>
      </w:r>
      <w:r>
        <w:rPr>
          <w:rFonts w:hint="eastAsia" w:ascii="Calibri" w:hAnsi="Calibri" w:eastAsia="宋体" w:cs="Times New Roman"/>
          <w:b w:val="0"/>
          <w:bCs w:val="0"/>
          <w:color w:val="auto"/>
          <w:sz w:val="21"/>
          <w:szCs w:val="21"/>
        </w:rPr>
        <w:t>14</w:t>
      </w:r>
      <w:r>
        <w:rPr>
          <w:rFonts w:hint="eastAsia" w:ascii="Calibri" w:hAnsi="Calibri" w:cs="Times New Roman"/>
          <w:b w:val="0"/>
          <w:bCs w:val="0"/>
          <w:color w:val="auto"/>
          <w:sz w:val="21"/>
          <w:szCs w:val="21"/>
          <w:lang w:val="en-US" w:eastAsia="zh-CN"/>
        </w:rPr>
        <w:t>cm</w:t>
      </w:r>
      <w:r>
        <w:rPr>
          <w:rFonts w:hint="eastAsia"/>
          <w:lang w:val="en-US" w:eastAsia="zh-CN"/>
        </w:rPr>
        <w:t>～</w:t>
      </w:r>
      <w:r>
        <w:rPr>
          <w:rFonts w:hint="eastAsia" w:ascii="Calibri" w:hAnsi="Calibri" w:eastAsia="宋体" w:cs="Times New Roman"/>
          <w:b w:val="0"/>
          <w:bCs w:val="0"/>
          <w:color w:val="auto"/>
          <w:sz w:val="21"/>
          <w:szCs w:val="21"/>
        </w:rPr>
        <w:t>16</w:t>
      </w:r>
      <w:r>
        <w:rPr>
          <w:rFonts w:hint="eastAsia" w:ascii="Calibri" w:hAnsi="Calibri" w:cs="Times New Roman"/>
          <w:b w:val="0"/>
          <w:bCs w:val="0"/>
          <w:color w:val="auto"/>
          <w:sz w:val="21"/>
          <w:szCs w:val="21"/>
          <w:lang w:val="en-US" w:eastAsia="zh-CN"/>
        </w:rPr>
        <w:t>cm的种球，</w:t>
      </w:r>
      <w:r>
        <w:rPr>
          <w:rFonts w:hint="eastAsia" w:cs="Times New Roman"/>
          <w:b w:val="0"/>
          <w:bCs w:val="0"/>
          <w:sz w:val="21"/>
          <w:szCs w:val="21"/>
          <w:lang w:val="en-US" w:eastAsia="zh-CN"/>
        </w:rPr>
        <w:t>种植密度为</w:t>
      </w:r>
      <w:r>
        <w:rPr>
          <w:rFonts w:hint="eastAsia" w:cs="Times New Roman"/>
          <w:sz w:val="21"/>
          <w:szCs w:val="21"/>
          <w:lang w:eastAsia="zh-CN"/>
        </w:rPr>
        <w:t>4</w:t>
      </w:r>
      <w:r>
        <w:rPr>
          <w:rFonts w:hint="eastAsia" w:ascii="Calibri" w:hAnsi="Calibri" w:eastAsia="宋体" w:cs="Times New Roman"/>
          <w:color w:val="auto"/>
          <w:sz w:val="21"/>
          <w:szCs w:val="21"/>
        </w:rPr>
        <w:t>0</w:t>
      </w:r>
      <w:r>
        <w:rPr>
          <w:rFonts w:hint="eastAsia" w:cs="Times New Roman"/>
          <w:sz w:val="21"/>
          <w:szCs w:val="21"/>
          <w:lang w:val="en-US" w:eastAsia="zh-CN"/>
        </w:rPr>
        <w:t>粒/m</w:t>
      </w:r>
      <w:r>
        <w:rPr>
          <w:rFonts w:hint="eastAsia" w:cs="Times New Roman"/>
          <w:sz w:val="21"/>
          <w:szCs w:val="21"/>
          <w:vertAlign w:val="superscript"/>
          <w:lang w:val="en-US" w:eastAsia="zh-CN"/>
        </w:rPr>
        <w:t>3</w:t>
      </w:r>
      <w:r>
        <w:rPr>
          <w:rFonts w:hint="eastAsia"/>
          <w:lang w:val="en-US" w:eastAsia="zh-CN"/>
        </w:rPr>
        <w:t>～</w:t>
      </w:r>
      <w:r>
        <w:rPr>
          <w:rFonts w:hint="eastAsia" w:cs="Times New Roman"/>
          <w:sz w:val="21"/>
          <w:szCs w:val="21"/>
          <w:lang w:eastAsia="zh-CN"/>
        </w:rPr>
        <w:t>5</w:t>
      </w:r>
      <w:r>
        <w:rPr>
          <w:rFonts w:hint="eastAsia" w:ascii="Calibri" w:hAnsi="Calibri" w:eastAsia="宋体" w:cs="Times New Roman"/>
          <w:color w:val="auto"/>
          <w:sz w:val="21"/>
          <w:szCs w:val="21"/>
        </w:rPr>
        <w:t>0</w:t>
      </w:r>
      <w:r>
        <w:rPr>
          <w:rFonts w:hint="eastAsia" w:cs="Times New Roman"/>
          <w:sz w:val="21"/>
          <w:szCs w:val="21"/>
          <w:lang w:val="en-US" w:eastAsia="zh-CN"/>
        </w:rPr>
        <w:t>粒/m</w:t>
      </w:r>
      <w:r>
        <w:rPr>
          <w:rFonts w:hint="eastAsia" w:cs="Times New Roman"/>
          <w:sz w:val="21"/>
          <w:szCs w:val="21"/>
          <w:vertAlign w:val="superscript"/>
          <w:lang w:val="en-US" w:eastAsia="zh-CN"/>
        </w:rPr>
        <w:t>3</w:t>
      </w:r>
      <w:r>
        <w:rPr>
          <w:rFonts w:hint="eastAsia" w:ascii="Calibri" w:hAnsi="Calibri" w:cs="Times New Roman"/>
          <w:color w:val="auto"/>
          <w:sz w:val="21"/>
          <w:szCs w:val="21"/>
          <w:lang w:val="en-US" w:eastAsia="zh-CN"/>
        </w:rPr>
        <w:t>；</w:t>
      </w:r>
      <w:r>
        <w:rPr>
          <w:rFonts w:hint="eastAsia"/>
          <w:lang w:val="en-US" w:eastAsia="zh-CN"/>
        </w:rPr>
        <w:t>周径</w:t>
      </w:r>
      <w:r>
        <w:rPr>
          <w:rFonts w:hint="eastAsia" w:ascii="Calibri" w:hAnsi="Calibri" w:eastAsia="宋体" w:cs="Times New Roman"/>
          <w:b w:val="0"/>
          <w:bCs w:val="0"/>
          <w:sz w:val="21"/>
          <w:szCs w:val="21"/>
        </w:rPr>
        <w:t>1</w:t>
      </w:r>
      <w:r>
        <w:rPr>
          <w:rFonts w:hint="eastAsia" w:cs="Times New Roman"/>
          <w:b w:val="0"/>
          <w:bCs w:val="0"/>
          <w:sz w:val="21"/>
          <w:szCs w:val="21"/>
          <w:lang w:val="en-US" w:eastAsia="zh-CN"/>
        </w:rPr>
        <w:t>6</w:t>
      </w:r>
      <w:r>
        <w:rPr>
          <w:rFonts w:hint="eastAsia" w:ascii="Calibri" w:hAnsi="Calibri" w:cs="Times New Roman"/>
          <w:b w:val="0"/>
          <w:bCs w:val="0"/>
          <w:sz w:val="21"/>
          <w:szCs w:val="21"/>
          <w:lang w:val="en-US" w:eastAsia="zh-CN"/>
        </w:rPr>
        <w:t>cm</w:t>
      </w:r>
      <w:r>
        <w:rPr>
          <w:rFonts w:hint="eastAsia"/>
          <w:lang w:val="en-US" w:eastAsia="zh-CN"/>
        </w:rPr>
        <w:t>～</w:t>
      </w:r>
      <w:r>
        <w:rPr>
          <w:rFonts w:hint="eastAsia" w:cs="Times New Roman"/>
          <w:b w:val="0"/>
          <w:bCs w:val="0"/>
          <w:sz w:val="21"/>
          <w:szCs w:val="21"/>
          <w:lang w:val="en-US" w:eastAsia="zh-CN"/>
        </w:rPr>
        <w:t>20</w:t>
      </w:r>
      <w:r>
        <w:rPr>
          <w:rFonts w:hint="eastAsia" w:ascii="Calibri" w:hAnsi="Calibri" w:cs="Times New Roman"/>
          <w:b w:val="0"/>
          <w:bCs w:val="0"/>
          <w:sz w:val="21"/>
          <w:szCs w:val="21"/>
          <w:lang w:val="en-US" w:eastAsia="zh-CN"/>
        </w:rPr>
        <w:t>cm的种球</w:t>
      </w:r>
      <w:r>
        <w:rPr>
          <w:rFonts w:hint="eastAsia" w:cs="Times New Roman"/>
          <w:b w:val="0"/>
          <w:bCs w:val="0"/>
          <w:sz w:val="21"/>
          <w:szCs w:val="21"/>
          <w:lang w:val="en-US" w:eastAsia="zh-CN"/>
        </w:rPr>
        <w:t>，定植密度为</w:t>
      </w:r>
      <w:r>
        <w:rPr>
          <w:rFonts w:hint="eastAsia" w:cs="Times New Roman"/>
          <w:sz w:val="21"/>
          <w:szCs w:val="21"/>
          <w:lang w:val="en-US" w:eastAsia="zh-CN"/>
        </w:rPr>
        <w:t>30粒/m</w:t>
      </w:r>
      <w:r>
        <w:rPr>
          <w:rFonts w:hint="eastAsia" w:cs="Times New Roman"/>
          <w:sz w:val="21"/>
          <w:szCs w:val="21"/>
          <w:vertAlign w:val="superscript"/>
          <w:lang w:val="en-US" w:eastAsia="zh-CN"/>
        </w:rPr>
        <w:t>3</w:t>
      </w:r>
      <w:r>
        <w:rPr>
          <w:rFonts w:hint="eastAsia"/>
          <w:lang w:val="en-US" w:eastAsia="zh-CN"/>
        </w:rPr>
        <w:t>～</w:t>
      </w:r>
      <w:r>
        <w:rPr>
          <w:rFonts w:hint="eastAsia" w:cs="Times New Roman"/>
          <w:sz w:val="21"/>
          <w:szCs w:val="21"/>
          <w:lang w:val="en-US" w:eastAsia="zh-CN"/>
        </w:rPr>
        <w:t>45粒/m</w:t>
      </w:r>
      <w:r>
        <w:rPr>
          <w:rFonts w:hint="eastAsia" w:cs="Times New Roman"/>
          <w:sz w:val="21"/>
          <w:szCs w:val="21"/>
          <w:vertAlign w:val="superscript"/>
          <w:lang w:val="en-US" w:eastAsia="zh-CN"/>
        </w:rPr>
        <w:t>3</w:t>
      </w:r>
      <w:r>
        <w:rPr>
          <w:rFonts w:hint="eastAsia" w:cs="Times New Roman"/>
          <w:sz w:val="21"/>
          <w:szCs w:val="21"/>
          <w:lang w:val="en-US" w:eastAsia="zh-CN"/>
        </w:rPr>
        <w:t>。</w:t>
      </w:r>
    </w:p>
    <w:p>
      <w:pPr>
        <w:pStyle w:val="61"/>
        <w:spacing w:line="400" w:lineRule="exact"/>
        <w:ind w:firstLine="0" w:firstLineChars="0"/>
        <w:rPr>
          <w:rFonts w:hint="eastAsia" w:ascii="黑体" w:hAnsi="黑体" w:eastAsia="黑体" w:cs="黑体"/>
          <w:szCs w:val="21"/>
          <w:lang w:val="en-US" w:eastAsia="zh-CN"/>
        </w:rPr>
      </w:pPr>
      <w:r>
        <w:rPr>
          <w:rFonts w:hint="eastAsia" w:ascii="黑体" w:hAnsi="黑体" w:eastAsia="黑体" w:cs="黑体"/>
          <w:b w:val="0"/>
          <w:bCs w:val="0"/>
          <w:szCs w:val="21"/>
          <w:lang w:val="en-US" w:eastAsia="zh-CN"/>
        </w:rPr>
        <w:t>12</w:t>
      </w:r>
      <w:r>
        <w:rPr>
          <w:rFonts w:hint="default" w:ascii="黑体" w:hAnsi="黑体" w:eastAsia="黑体" w:cs="黑体"/>
          <w:b w:val="0"/>
          <w:bCs w:val="0"/>
          <w:szCs w:val="21"/>
        </w:rPr>
        <w:t>.</w:t>
      </w:r>
      <w:r>
        <w:rPr>
          <w:rFonts w:hint="default" w:ascii="黑体" w:hAnsi="黑体" w:eastAsia="黑体" w:cs="黑体"/>
          <w:b w:val="0"/>
          <w:bCs w:val="0"/>
          <w:szCs w:val="21"/>
          <w:lang w:val="en-US" w:eastAsia="zh-CN"/>
        </w:rPr>
        <w:t xml:space="preserve">3 </w:t>
      </w:r>
      <w:r>
        <w:rPr>
          <w:rFonts w:hint="eastAsia" w:ascii="黑体" w:hAnsi="黑体" w:eastAsia="黑体" w:cs="黑体"/>
          <w:szCs w:val="21"/>
          <w:lang w:val="en-US" w:eastAsia="zh-CN"/>
        </w:rPr>
        <w:t>高畦栽培</w:t>
      </w:r>
    </w:p>
    <w:p>
      <w:pPr>
        <w:pStyle w:val="60"/>
        <w:bidi w:val="0"/>
        <w:rPr>
          <w:rFonts w:hint="eastAsia"/>
          <w:lang w:val="en-US" w:eastAsia="zh-CN"/>
        </w:rPr>
      </w:pPr>
      <w:r>
        <w:rPr>
          <w:rFonts w:hint="eastAsia"/>
          <w:lang w:val="en-US" w:eastAsia="zh-CN"/>
        </w:rPr>
        <w:t>土地平整后直接开沟定植，种球栽完后从畦面两侧取土覆盖种球，覆土厚度8cm～10cm左右，做成畦面宽70cm、高15cm、垄沟宽30cm的高畦。畦面耧平，每畦按间距25cm铺设两根微喷带或滴灌带，浇透水，两天后再浇透水一次。</w:t>
      </w:r>
    </w:p>
    <w:p>
      <w:pPr>
        <w:pStyle w:val="109"/>
        <w:numPr>
          <w:ilvl w:val="1"/>
          <w:numId w:val="0"/>
        </w:numPr>
        <w:spacing w:line="360" w:lineRule="auto"/>
        <w:rPr>
          <w:rFonts w:hint="eastAsia" w:ascii="黑体" w:hAnsi="Times New Roman" w:eastAsia="黑体" w:cs="Times New Roman"/>
          <w:b w:val="0"/>
          <w:bCs w:val="0"/>
          <w:szCs w:val="20"/>
          <w:lang w:val="en-US" w:eastAsia="zh-CN"/>
        </w:rPr>
      </w:pPr>
      <w:r>
        <w:rPr>
          <w:rFonts w:hint="eastAsia" w:cs="Times New Roman"/>
          <w:b w:val="0"/>
          <w:bCs w:val="0"/>
          <w:i w:val="0"/>
          <w:sz w:val="21"/>
          <w:szCs w:val="20"/>
          <w:lang w:val="en-US" w:eastAsia="zh-CN" w:bidi="ar-SA"/>
        </w:rPr>
        <w:t>13</w:t>
      </w:r>
      <w:r>
        <w:rPr>
          <w:rFonts w:hint="eastAsia" w:ascii="黑体" w:hAnsi="Times New Roman" w:eastAsia="黑体" w:cs="Times New Roman"/>
          <w:b w:val="0"/>
          <w:bCs w:val="0"/>
          <w:i w:val="0"/>
          <w:sz w:val="21"/>
          <w:szCs w:val="20"/>
          <w:lang w:val="en-US" w:eastAsia="zh-CN" w:bidi="ar-SA"/>
        </w:rPr>
        <w:t>　</w:t>
      </w:r>
      <w:r>
        <w:rPr>
          <w:rFonts w:hint="eastAsia" w:ascii="黑体" w:hAnsi="Times New Roman" w:eastAsia="黑体" w:cs="Times New Roman"/>
          <w:b w:val="0"/>
          <w:bCs w:val="0"/>
          <w:szCs w:val="20"/>
          <w:lang w:val="en-US" w:eastAsia="zh-CN"/>
        </w:rPr>
        <w:t>田间管理</w:t>
      </w:r>
    </w:p>
    <w:p>
      <w:pPr>
        <w:pStyle w:val="61"/>
        <w:widowControl/>
        <w:snapToGrid w:val="0"/>
        <w:spacing w:line="400" w:lineRule="exact"/>
        <w:ind w:firstLine="0" w:firstLineChars="0"/>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13.1 温度管理</w:t>
      </w:r>
    </w:p>
    <w:p>
      <w:pPr>
        <w:pStyle w:val="70"/>
        <w:numPr>
          <w:ilvl w:val="3"/>
          <w:numId w:val="0"/>
        </w:numPr>
        <w:rPr>
          <w:rFonts w:hint="eastAsia"/>
          <w:color w:val="auto"/>
          <w:lang w:val="en-US" w:eastAsia="zh-CN"/>
        </w:rPr>
      </w:pPr>
      <w:r>
        <w:rPr>
          <w:rFonts w:hint="eastAsia" w:cs="Times New Roman"/>
          <w:b w:val="0"/>
          <w:i w:val="0"/>
          <w:color w:val="auto"/>
          <w:sz w:val="21"/>
          <w:lang w:val="en-US" w:eastAsia="zh-CN" w:bidi="ar-SA"/>
        </w:rPr>
        <w:t>13.1.1</w:t>
      </w:r>
      <w:r>
        <w:rPr>
          <w:rFonts w:hint="default" w:ascii="黑体" w:hAnsi="Times New Roman" w:eastAsia="黑体" w:cs="Times New Roman"/>
          <w:b w:val="0"/>
          <w:i w:val="0"/>
          <w:color w:val="auto"/>
          <w:sz w:val="21"/>
          <w:lang w:val="en-US" w:eastAsia="zh-CN" w:bidi="ar-SA"/>
        </w:rPr>
        <w:t>　</w:t>
      </w:r>
      <w:r>
        <w:rPr>
          <w:rFonts w:hint="eastAsia"/>
          <w:color w:val="auto"/>
          <w:lang w:val="en-US" w:eastAsia="zh-CN"/>
        </w:rPr>
        <w:t>适宜温度条件</w:t>
      </w:r>
    </w:p>
    <w:p>
      <w:pPr>
        <w:keepNext w:val="0"/>
        <w:keepLines w:val="0"/>
        <w:widowControl/>
        <w:suppressLineNumbers w:val="0"/>
        <w:ind w:firstLine="420"/>
        <w:jc w:val="left"/>
        <w:rPr>
          <w:rFonts w:hint="default" w:cs="Times New Roman"/>
          <w:color w:val="FF0000"/>
          <w:kern w:val="2"/>
          <w:sz w:val="21"/>
          <w:szCs w:val="21"/>
          <w:lang w:val="en-US" w:eastAsia="zh-CN" w:bidi="ar"/>
        </w:rPr>
      </w:pPr>
      <w:bookmarkStart w:id="33" w:name="_GoBack"/>
      <w:r>
        <w:rPr>
          <w:rFonts w:hint="eastAsia" w:ascii="Calibri" w:hAnsi="Calibri" w:eastAsia="宋体" w:cs="Times New Roman"/>
          <w:color w:val="auto"/>
          <w:kern w:val="2"/>
          <w:sz w:val="21"/>
          <w:szCs w:val="21"/>
          <w:lang w:val="en-US" w:eastAsia="zh-CN" w:bidi="ar"/>
        </w:rPr>
        <w:t>萌芽期土温应保持在12℃～15℃，不可超过20℃</w:t>
      </w:r>
      <w:r>
        <w:rPr>
          <w:rFonts w:hint="eastAsia" w:cs="Times New Roman"/>
          <w:color w:val="auto"/>
          <w:kern w:val="2"/>
          <w:sz w:val="21"/>
          <w:szCs w:val="21"/>
          <w:lang w:val="en-US" w:eastAsia="zh-CN" w:bidi="ar"/>
        </w:rPr>
        <w:t>，昼</w:t>
      </w:r>
      <w:r>
        <w:rPr>
          <w:rFonts w:hint="eastAsia" w:ascii="Calibri" w:hAnsi="Calibri" w:eastAsia="宋体" w:cs="Times New Roman"/>
          <w:color w:val="auto"/>
          <w:kern w:val="2"/>
          <w:sz w:val="21"/>
          <w:szCs w:val="21"/>
          <w:lang w:val="en-US" w:eastAsia="zh-CN" w:bidi="ar"/>
        </w:rPr>
        <w:t>温20℃～22℃，不可超过25℃，夜温10℃～15℃。营养生长期和花蕾发育期，</w:t>
      </w:r>
      <w:r>
        <w:rPr>
          <w:rFonts w:hint="eastAsia" w:cs="Times New Roman"/>
          <w:color w:val="auto"/>
          <w:kern w:val="2"/>
          <w:sz w:val="21"/>
          <w:szCs w:val="21"/>
          <w:lang w:val="en-US" w:eastAsia="zh-CN" w:bidi="ar"/>
        </w:rPr>
        <w:t>昼温</w:t>
      </w:r>
      <w:r>
        <w:rPr>
          <w:rFonts w:hint="eastAsia" w:ascii="Calibri" w:hAnsi="Calibri" w:eastAsia="宋体" w:cs="Times New Roman"/>
          <w:color w:val="auto"/>
          <w:kern w:val="2"/>
          <w:sz w:val="21"/>
          <w:szCs w:val="21"/>
          <w:lang w:val="en-US" w:eastAsia="zh-CN" w:bidi="ar"/>
        </w:rPr>
        <w:t>20℃～25℃，夜温15℃～16℃，低于15℃</w:t>
      </w:r>
      <w:r>
        <w:rPr>
          <w:rFonts w:hint="eastAsia" w:cs="Times New Roman"/>
          <w:color w:val="auto"/>
          <w:kern w:val="2"/>
          <w:sz w:val="21"/>
          <w:szCs w:val="21"/>
          <w:lang w:val="en-US" w:eastAsia="zh-CN" w:bidi="ar"/>
        </w:rPr>
        <w:t>会</w:t>
      </w:r>
      <w:r>
        <w:rPr>
          <w:rFonts w:hint="eastAsia" w:ascii="Calibri" w:hAnsi="Calibri" w:eastAsia="宋体" w:cs="Times New Roman"/>
          <w:color w:val="auto"/>
          <w:kern w:val="2"/>
          <w:sz w:val="21"/>
          <w:szCs w:val="21"/>
          <w:lang w:val="en-US" w:eastAsia="zh-CN" w:bidi="ar"/>
        </w:rPr>
        <w:t>导致消蕾和叶黄。</w:t>
      </w:r>
      <w:bookmarkEnd w:id="33"/>
    </w:p>
    <w:p>
      <w:pPr>
        <w:pStyle w:val="70"/>
        <w:numPr>
          <w:ilvl w:val="3"/>
          <w:numId w:val="0"/>
        </w:numPr>
        <w:rPr>
          <w:rFonts w:hint="eastAsia"/>
          <w:color w:val="auto"/>
          <w:lang w:val="en-US" w:eastAsia="zh-CN"/>
        </w:rPr>
      </w:pPr>
      <w:r>
        <w:rPr>
          <w:rFonts w:hint="eastAsia" w:cs="Times New Roman"/>
          <w:b w:val="0"/>
          <w:i w:val="0"/>
          <w:color w:val="auto"/>
          <w:sz w:val="21"/>
          <w:lang w:val="en-US" w:eastAsia="zh-CN" w:bidi="ar-SA"/>
        </w:rPr>
        <w:t>13</w:t>
      </w:r>
      <w:r>
        <w:rPr>
          <w:rFonts w:hint="default" w:ascii="黑体" w:hAnsi="Times New Roman" w:eastAsia="黑体" w:cs="Times New Roman"/>
          <w:b w:val="0"/>
          <w:i w:val="0"/>
          <w:color w:val="auto"/>
          <w:sz w:val="21"/>
          <w:lang w:val="en-US" w:eastAsia="zh-CN" w:bidi="ar-SA"/>
        </w:rPr>
        <w:t>.1.</w:t>
      </w:r>
      <w:r>
        <w:rPr>
          <w:rFonts w:hint="eastAsia" w:cs="Times New Roman"/>
          <w:b w:val="0"/>
          <w:i w:val="0"/>
          <w:color w:val="auto"/>
          <w:sz w:val="21"/>
          <w:lang w:val="en-US" w:eastAsia="zh-CN" w:bidi="ar-SA"/>
        </w:rPr>
        <w:t>2</w:t>
      </w:r>
      <w:r>
        <w:rPr>
          <w:rFonts w:hint="default" w:ascii="黑体" w:hAnsi="Times New Roman" w:eastAsia="黑体" w:cs="Times New Roman"/>
          <w:b w:val="0"/>
          <w:i w:val="0"/>
          <w:color w:val="auto"/>
          <w:sz w:val="21"/>
          <w:lang w:val="en-US" w:eastAsia="zh-CN" w:bidi="ar-SA"/>
        </w:rPr>
        <w:t>　</w:t>
      </w:r>
      <w:r>
        <w:rPr>
          <w:rFonts w:hint="default"/>
          <w:color w:val="auto"/>
          <w:lang w:val="en-US" w:eastAsia="zh-CN"/>
        </w:rPr>
        <w:t>控温措施</w:t>
      </w:r>
    </w:p>
    <w:p>
      <w:pPr>
        <w:bidi w:val="0"/>
        <w:ind w:firstLine="420" w:firstLineChars="200"/>
        <w:rPr>
          <w:rFonts w:hint="eastAsia"/>
          <w:lang w:val="en-US" w:eastAsia="zh-CN"/>
        </w:rPr>
      </w:pPr>
      <w:r>
        <w:rPr>
          <w:rFonts w:hint="eastAsia"/>
          <w:lang w:val="en-US" w:eastAsia="zh-CN"/>
        </w:rPr>
        <w:t>降温措施：遮荫、作物秸秆覆盖、加强通风增加空气湿度、用温度较低的地下水灌溉制冷设备降温等。</w:t>
      </w:r>
    </w:p>
    <w:p>
      <w:pPr>
        <w:ind w:firstLine="420" w:firstLineChars="200"/>
        <w:rPr>
          <w:rFonts w:hint="default"/>
          <w:lang w:val="en-US" w:eastAsia="zh-CN"/>
        </w:rPr>
      </w:pPr>
      <w:r>
        <w:rPr>
          <w:rFonts w:hint="eastAsia"/>
          <w:lang w:val="en-US" w:eastAsia="zh-CN"/>
        </w:rPr>
        <w:t>保温措施：选择保温性能好的保温被、塑料膜等覆盖材料；增加设施和覆盖材料密封性，减少内外空气交流；缩短通风时间；充分利用日光资源，早上早开被见光，下午早关风口；用燃料或设备加温等。</w:t>
      </w:r>
    </w:p>
    <w:p>
      <w:pPr>
        <w:pStyle w:val="61"/>
        <w:widowControl/>
        <w:snapToGrid w:val="0"/>
        <w:spacing w:line="400" w:lineRule="exact"/>
        <w:ind w:firstLine="0" w:firstLineChars="0"/>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13.2 空气湿度</w:t>
      </w:r>
    </w:p>
    <w:p>
      <w:pPr>
        <w:bidi w:val="0"/>
        <w:ind w:firstLine="420"/>
        <w:rPr>
          <w:rFonts w:hint="eastAsia"/>
          <w:lang w:val="en-US" w:eastAsia="zh-CN"/>
        </w:rPr>
      </w:pPr>
      <w:r>
        <w:rPr>
          <w:rFonts w:hint="eastAsia"/>
          <w:lang w:val="en-US" w:eastAsia="zh-CN"/>
        </w:rPr>
        <w:t>适宜的空气相对湿度为70%～80%。可利用遮荫、通风、以及喷淋等方法来增加或降低空气相对湿度。</w:t>
      </w:r>
    </w:p>
    <w:p>
      <w:pPr>
        <w:pStyle w:val="61"/>
        <w:widowControl/>
        <w:snapToGrid w:val="0"/>
        <w:spacing w:line="400" w:lineRule="exact"/>
        <w:ind w:firstLine="0" w:firstLineChars="0"/>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13.3 光照管理</w:t>
      </w:r>
    </w:p>
    <w:p>
      <w:pPr>
        <w:pStyle w:val="60"/>
        <w:rPr>
          <w:rFonts w:hint="eastAsia"/>
          <w:lang w:val="en-US" w:eastAsia="zh-CN"/>
        </w:rPr>
      </w:pPr>
      <w:r>
        <w:rPr>
          <w:rFonts w:hint="eastAsia"/>
          <w:lang w:val="en-US" w:eastAsia="zh-CN"/>
        </w:rPr>
        <w:t>冬季生产百合：以增加光照强度和光照时间为主，要保持塑料膜等覆盖材料表面清洁，使之透光良好，可用植物生长专用灯等人工光源补光。</w:t>
      </w:r>
    </w:p>
    <w:p>
      <w:pPr>
        <w:pStyle w:val="60"/>
        <w:bidi w:val="0"/>
        <w:rPr>
          <w:rFonts w:hint="eastAsia"/>
          <w:lang w:val="en-US" w:eastAsia="zh-CN"/>
        </w:rPr>
      </w:pPr>
      <w:r>
        <w:rPr>
          <w:rFonts w:hint="eastAsia"/>
          <w:lang w:val="en-US" w:eastAsia="zh-CN"/>
        </w:rPr>
        <w:t>夏季生产百合：以降低光照强度为主，使用50%～80%遮阳网遮光。</w:t>
      </w:r>
    </w:p>
    <w:p>
      <w:pPr>
        <w:pStyle w:val="61"/>
        <w:widowControl/>
        <w:snapToGrid w:val="0"/>
        <w:spacing w:line="400" w:lineRule="exact"/>
        <w:ind w:firstLine="0" w:firstLineChars="0"/>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13.4 水份管理</w:t>
      </w:r>
    </w:p>
    <w:p>
      <w:pPr>
        <w:pStyle w:val="60"/>
        <w:bidi w:val="0"/>
        <w:rPr>
          <w:rFonts w:hint="eastAsia"/>
          <w:lang w:val="en-US" w:eastAsia="zh-CN"/>
        </w:rPr>
      </w:pPr>
      <w:r>
        <w:rPr>
          <w:rFonts w:hint="eastAsia"/>
          <w:lang w:val="en-US" w:eastAsia="zh-CN"/>
        </w:rPr>
        <w:t>种植前土壤或基质需浇足水，湿度以手握成团、落地松散为好。定植后浇一次透水，2d～3d后再浇一次透水，使土壤或基质与种球充分接触。之后视天气、土壤或基质湿度情况适量浇水，含水量宜保持在50%～70%，夏季浇水宜在早晚进行，冬季宜在晴天上午9时～12时浇水。</w:t>
      </w:r>
    </w:p>
    <w:p>
      <w:pPr>
        <w:pStyle w:val="61"/>
        <w:widowControl/>
        <w:snapToGrid w:val="0"/>
        <w:spacing w:line="400" w:lineRule="exact"/>
        <w:ind w:firstLine="0" w:firstLineChars="0"/>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13.5 施肥管理</w:t>
      </w:r>
    </w:p>
    <w:p>
      <w:pPr>
        <w:pStyle w:val="60"/>
        <w:bidi w:val="0"/>
        <w:rPr>
          <w:rFonts w:hint="eastAsia"/>
          <w:lang w:val="en-US" w:eastAsia="zh-CN"/>
        </w:rPr>
      </w:pPr>
      <w:r>
        <w:rPr>
          <w:rFonts w:hint="eastAsia"/>
          <w:lang w:val="en-US" w:eastAsia="zh-CN"/>
        </w:rPr>
        <w:t>定植至茎生根长度达5cm前，不追肥，切花采收前三周停止追肥。植株展叶后追施N:P:K=20:10:20水溶性复合肥5kg/667㎡，15d～20d施肥1次，整个生长期施肥4次～5次。适时补充钙肥、铁肥，施硝酸钙4kg/667㎡、螯合铁1kg/667㎡，共施2次～3次。生长期每15d叶面喷施一次0.3%磷酸二氢钾或生物菌肥。</w:t>
      </w:r>
    </w:p>
    <w:p>
      <w:pPr>
        <w:pStyle w:val="61"/>
        <w:widowControl/>
        <w:snapToGrid w:val="0"/>
        <w:spacing w:line="400" w:lineRule="exact"/>
        <w:ind w:firstLine="0" w:firstLineChars="0"/>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13.6 株型管理</w:t>
      </w:r>
    </w:p>
    <w:p>
      <w:pPr>
        <w:pStyle w:val="70"/>
        <w:numPr>
          <w:ilvl w:val="3"/>
          <w:numId w:val="0"/>
        </w:numPr>
        <w:rPr>
          <w:rFonts w:hint="default"/>
          <w:color w:val="auto"/>
          <w:lang w:val="en-US" w:eastAsia="zh-CN"/>
        </w:rPr>
      </w:pPr>
      <w:r>
        <w:rPr>
          <w:rFonts w:hint="eastAsia" w:cs="Times New Roman"/>
          <w:b w:val="0"/>
          <w:i w:val="0"/>
          <w:color w:val="auto"/>
          <w:sz w:val="21"/>
          <w:lang w:val="en-US" w:eastAsia="zh-CN" w:bidi="ar-SA"/>
        </w:rPr>
        <w:t>13.6.1</w:t>
      </w:r>
      <w:r>
        <w:rPr>
          <w:rFonts w:hint="default" w:ascii="黑体" w:hAnsi="Times New Roman" w:eastAsia="黑体" w:cs="Times New Roman"/>
          <w:b w:val="0"/>
          <w:i w:val="0"/>
          <w:color w:val="auto"/>
          <w:sz w:val="21"/>
          <w:lang w:val="en-US" w:eastAsia="zh-CN" w:bidi="ar-SA"/>
        </w:rPr>
        <w:t>　</w:t>
      </w:r>
      <w:r>
        <w:rPr>
          <w:rFonts w:hint="eastAsia"/>
          <w:color w:val="auto"/>
          <w:lang w:val="en-US" w:eastAsia="zh-CN"/>
        </w:rPr>
        <w:t>架设花网</w:t>
      </w:r>
    </w:p>
    <w:p>
      <w:pPr>
        <w:pStyle w:val="60"/>
        <w:rPr>
          <w:rFonts w:hint="eastAsia"/>
          <w:lang w:val="en-US" w:eastAsia="zh-CN"/>
        </w:rPr>
      </w:pPr>
      <w:r>
        <w:rPr>
          <w:rFonts w:hint="eastAsia"/>
          <w:lang w:val="en-US" w:eastAsia="zh-CN"/>
        </w:rPr>
        <w:t>植株高度30cm～40cm时架设花网，采用网眼15cm×15cm规格的花网，随植株高度的增加及时提升花网。</w:t>
      </w:r>
    </w:p>
    <w:p>
      <w:pPr>
        <w:pStyle w:val="70"/>
        <w:numPr>
          <w:ilvl w:val="3"/>
          <w:numId w:val="0"/>
        </w:numPr>
        <w:rPr>
          <w:rFonts w:hint="default" w:ascii="黑体" w:hAnsi="Times New Roman" w:eastAsia="黑体" w:cs="Times New Roman"/>
          <w:color w:val="auto"/>
          <w:szCs w:val="20"/>
          <w:lang w:val="en-US" w:eastAsia="zh-CN"/>
        </w:rPr>
      </w:pPr>
      <w:r>
        <w:rPr>
          <w:rFonts w:hint="eastAsia" w:cs="Times New Roman"/>
          <w:b w:val="0"/>
          <w:i w:val="0"/>
          <w:color w:val="auto"/>
          <w:sz w:val="21"/>
          <w:szCs w:val="20"/>
          <w:lang w:val="en-US" w:eastAsia="zh-CN" w:bidi="ar-SA"/>
        </w:rPr>
        <w:t>13.6.2</w:t>
      </w:r>
      <w:r>
        <w:rPr>
          <w:rFonts w:hint="default" w:ascii="黑体" w:hAnsi="Times New Roman" w:eastAsia="黑体" w:cs="Times New Roman"/>
          <w:b w:val="0"/>
          <w:i w:val="0"/>
          <w:color w:val="auto"/>
          <w:sz w:val="21"/>
          <w:szCs w:val="20"/>
          <w:lang w:val="en-US" w:eastAsia="zh-CN" w:bidi="ar-SA"/>
        </w:rPr>
        <w:t>　</w:t>
      </w:r>
      <w:r>
        <w:rPr>
          <w:rFonts w:hint="default" w:ascii="黑体" w:hAnsi="Times New Roman" w:eastAsia="黑体" w:cs="Times New Roman"/>
          <w:color w:val="auto"/>
          <w:szCs w:val="20"/>
          <w:lang w:val="en-US" w:eastAsia="zh-CN"/>
        </w:rPr>
        <w:t>疏蕾</w:t>
      </w:r>
    </w:p>
    <w:p>
      <w:pPr>
        <w:pStyle w:val="60"/>
        <w:bidi w:val="0"/>
        <w:rPr>
          <w:rFonts w:hint="default"/>
          <w:lang w:val="en-US" w:eastAsia="zh-CN"/>
        </w:rPr>
      </w:pPr>
      <w:r>
        <w:rPr>
          <w:rFonts w:hint="eastAsia"/>
          <w:lang w:val="en-US" w:eastAsia="zh-CN"/>
        </w:rPr>
        <w:t>花蕾长度1cm</w:t>
      </w:r>
      <w:r>
        <w:rPr>
          <w:rFonts w:hint="eastAsia"/>
        </w:rPr>
        <w:t>～</w:t>
      </w:r>
      <w:r>
        <w:rPr>
          <w:rFonts w:hint="eastAsia"/>
          <w:lang w:val="en-US" w:eastAsia="zh-CN"/>
        </w:rPr>
        <w:t>2cm时疏蕾，去除发育不良和过多的花蕾，单株花蕾数多于4个的，每株保留4个</w:t>
      </w:r>
      <w:r>
        <w:rPr>
          <w:rFonts w:hint="eastAsia"/>
        </w:rPr>
        <w:t>～</w:t>
      </w:r>
      <w:r>
        <w:rPr>
          <w:rFonts w:hint="eastAsia"/>
          <w:lang w:val="en-US" w:eastAsia="zh-CN"/>
        </w:rPr>
        <w:t>5个发育良好，长势均匀一致的花蕾。摘蕾应选晴天上午进行，操作完成后立即喷一遍杀菌剂。</w:t>
      </w:r>
    </w:p>
    <w:p>
      <w:pPr>
        <w:pStyle w:val="109"/>
        <w:numPr>
          <w:ilvl w:val="1"/>
          <w:numId w:val="0"/>
        </w:numPr>
        <w:spacing w:line="360" w:lineRule="auto"/>
        <w:rPr>
          <w:rFonts w:hint="eastAsia" w:ascii="黑体" w:hAnsi="Times New Roman" w:eastAsia="黑体" w:cs="Times New Roman"/>
          <w:b w:val="0"/>
          <w:bCs w:val="0"/>
          <w:szCs w:val="20"/>
          <w:lang w:val="en-US" w:eastAsia="zh-CN"/>
        </w:rPr>
      </w:pPr>
      <w:r>
        <w:rPr>
          <w:rFonts w:hint="eastAsia" w:cs="Times New Roman"/>
          <w:b w:val="0"/>
          <w:bCs w:val="0"/>
          <w:i w:val="0"/>
          <w:sz w:val="21"/>
          <w:szCs w:val="20"/>
          <w:lang w:val="en-US" w:eastAsia="zh-CN" w:bidi="ar-SA"/>
        </w:rPr>
        <w:t>14</w:t>
      </w:r>
      <w:r>
        <w:rPr>
          <w:rFonts w:hint="eastAsia" w:ascii="黑体" w:hAnsi="Times New Roman" w:eastAsia="黑体" w:cs="Times New Roman"/>
          <w:b w:val="0"/>
          <w:bCs w:val="0"/>
          <w:i w:val="0"/>
          <w:sz w:val="21"/>
          <w:szCs w:val="20"/>
          <w:lang w:val="en-US" w:eastAsia="zh-CN" w:bidi="ar-SA"/>
        </w:rPr>
        <w:t>　</w:t>
      </w:r>
      <w:r>
        <w:rPr>
          <w:rFonts w:hint="eastAsia" w:ascii="黑体" w:hAnsi="Times New Roman" w:eastAsia="黑体" w:cs="Times New Roman"/>
          <w:b w:val="0"/>
          <w:bCs w:val="0"/>
          <w:szCs w:val="20"/>
          <w:lang w:val="en-US" w:eastAsia="zh-CN"/>
        </w:rPr>
        <w:t>病虫害防控</w:t>
      </w:r>
    </w:p>
    <w:p>
      <w:pPr>
        <w:pStyle w:val="60"/>
        <w:bidi w:val="0"/>
        <w:rPr>
          <w:rFonts w:hint="default"/>
          <w:lang w:val="en-US" w:eastAsia="zh-CN"/>
        </w:rPr>
      </w:pPr>
      <w:r>
        <w:rPr>
          <w:rFonts w:hint="eastAsia"/>
          <w:lang w:val="en-US" w:eastAsia="zh-CN"/>
        </w:rPr>
        <w:t>预防为主，综合防治。综合应用农业措施、物理技术、生物技术、化学技术防治病虫害。主要病害有灰霉病、疫病、枯萎病、炭疽病、病毒病等；生理性病害主要有叶片枯焦、黄叶落叶、落蕾干缩、花苞畸形等。虫害主要有蚜虫、刺足根螨、韭菜根蛆。具体危害症状和防治方法见表A.1。</w:t>
      </w:r>
    </w:p>
    <w:p>
      <w:pPr>
        <w:pStyle w:val="109"/>
        <w:numPr>
          <w:ilvl w:val="1"/>
          <w:numId w:val="0"/>
        </w:numPr>
        <w:spacing w:line="360" w:lineRule="auto"/>
        <w:rPr>
          <w:rFonts w:hint="eastAsia" w:ascii="黑体" w:hAnsi="Times New Roman" w:eastAsia="黑体" w:cs="Times New Roman"/>
          <w:b w:val="0"/>
          <w:bCs w:val="0"/>
          <w:szCs w:val="20"/>
        </w:rPr>
      </w:pPr>
      <w:r>
        <w:rPr>
          <w:rFonts w:hint="eastAsia" w:cs="Times New Roman"/>
          <w:b w:val="0"/>
          <w:bCs w:val="0"/>
          <w:i w:val="0"/>
          <w:sz w:val="21"/>
          <w:szCs w:val="20"/>
          <w:lang w:val="en-US" w:eastAsia="zh-CN" w:bidi="ar-SA"/>
        </w:rPr>
        <w:t>15</w:t>
      </w:r>
      <w:r>
        <w:rPr>
          <w:rFonts w:hint="eastAsia" w:ascii="黑体" w:hAnsi="Times New Roman" w:eastAsia="黑体" w:cs="Times New Roman"/>
          <w:b w:val="0"/>
          <w:bCs w:val="0"/>
          <w:i w:val="0"/>
          <w:sz w:val="21"/>
          <w:szCs w:val="20"/>
          <w:lang w:val="en-US" w:eastAsia="zh-CN" w:bidi="ar-SA"/>
        </w:rPr>
        <w:t>　</w:t>
      </w:r>
      <w:r>
        <w:rPr>
          <w:rFonts w:hint="eastAsia" w:ascii="黑体" w:hAnsi="Times New Roman" w:eastAsia="黑体" w:cs="Times New Roman"/>
          <w:b w:val="0"/>
          <w:bCs w:val="0"/>
          <w:szCs w:val="20"/>
        </w:rPr>
        <w:t>切花采收</w:t>
      </w:r>
      <w:r>
        <w:rPr>
          <w:rFonts w:hint="eastAsia" w:cs="Times New Roman"/>
          <w:b w:val="0"/>
          <w:bCs w:val="0"/>
          <w:szCs w:val="20"/>
          <w:lang w:eastAsia="zh-CN"/>
        </w:rPr>
        <w:t>与处理</w:t>
      </w:r>
    </w:p>
    <w:p>
      <w:pPr>
        <w:pStyle w:val="61"/>
        <w:widowControl/>
        <w:snapToGrid w:val="0"/>
        <w:spacing w:line="400" w:lineRule="exact"/>
        <w:ind w:firstLine="0" w:firstLineChars="0"/>
        <w:jc w:val="left"/>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15.1 采收和分级</w:t>
      </w:r>
    </w:p>
    <w:p>
      <w:pPr>
        <w:pStyle w:val="60"/>
        <w:rPr>
          <w:rFonts w:hint="default"/>
          <w:lang w:val="en-US" w:eastAsia="zh-CN"/>
        </w:rPr>
      </w:pPr>
      <w:r>
        <w:rPr>
          <w:rFonts w:hint="eastAsia"/>
          <w:lang w:val="en-US" w:eastAsia="zh-CN"/>
        </w:rPr>
        <w:t>东方百合切花采收和分级标准参照NY/T 3706-2020 百合切花等级规格执行。</w:t>
      </w:r>
    </w:p>
    <w:p>
      <w:pPr>
        <w:pStyle w:val="61"/>
        <w:widowControl/>
        <w:snapToGrid w:val="0"/>
        <w:spacing w:line="400" w:lineRule="exact"/>
        <w:ind w:firstLine="0" w:firstLineChars="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lang w:val="en-US" w:eastAsia="zh-CN"/>
        </w:rPr>
        <w:t>15.2 采后处理</w:t>
      </w:r>
    </w:p>
    <w:p>
      <w:pPr>
        <w:pStyle w:val="60"/>
        <w:bidi w:val="0"/>
        <w:rPr>
          <w:rFonts w:hint="eastAsia"/>
        </w:rPr>
      </w:pPr>
      <w:r>
        <w:rPr>
          <w:rFonts w:hint="eastAsia"/>
          <w:lang w:val="en-US" w:eastAsia="zh-CN"/>
        </w:rPr>
        <w:t>将同一等级的切花花蕾头部对齐，切成规定长度，每10支1束，去除茎秆基部10cm</w:t>
      </w:r>
      <w:r>
        <w:rPr>
          <w:rFonts w:hint="eastAsia"/>
        </w:rPr>
        <w:t>～</w:t>
      </w:r>
      <w:r>
        <w:rPr>
          <w:rFonts w:hint="eastAsia"/>
          <w:lang w:val="en-US" w:eastAsia="zh-CN"/>
        </w:rPr>
        <w:t>20cm叶片，基部用橡皮筋捆扎，套上专用塑料套袋</w:t>
      </w:r>
      <w:r>
        <w:rPr>
          <w:rFonts w:hint="eastAsia"/>
        </w:rPr>
        <w:t>，</w:t>
      </w:r>
      <w:r>
        <w:rPr>
          <w:rFonts w:hint="eastAsia"/>
          <w:lang w:val="en-US" w:eastAsia="zh-CN"/>
        </w:rPr>
        <w:t>移</w:t>
      </w:r>
      <w:r>
        <w:rPr>
          <w:rFonts w:hint="eastAsia"/>
        </w:rPr>
        <w:t>入2℃～5℃</w:t>
      </w:r>
      <w:r>
        <w:rPr>
          <w:rFonts w:hint="eastAsia"/>
          <w:lang w:eastAsia="zh-CN"/>
        </w:rPr>
        <w:t>的</w:t>
      </w:r>
      <w:r>
        <w:rPr>
          <w:rFonts w:hint="eastAsia"/>
          <w:lang w:val="en-US" w:eastAsia="zh-CN"/>
        </w:rPr>
        <w:t>冷库中充分吸水</w:t>
      </w:r>
      <w:r>
        <w:rPr>
          <w:rFonts w:hint="eastAsia"/>
        </w:rPr>
        <w:t>。</w:t>
      </w:r>
    </w:p>
    <w:p>
      <w:pPr>
        <w:pStyle w:val="61"/>
        <w:widowControl/>
        <w:snapToGrid w:val="0"/>
        <w:spacing w:line="400" w:lineRule="exact"/>
        <w:ind w:firstLine="0" w:firstLineChars="0"/>
        <w:jc w:val="left"/>
        <w:rPr>
          <w:rFonts w:hint="default" w:ascii="黑体" w:hAnsi="黑体" w:eastAsia="黑体" w:cs="黑体"/>
          <w:b w:val="0"/>
          <w:bCs w:val="0"/>
          <w:szCs w:val="21"/>
          <w:lang w:val="en-US" w:eastAsia="zh-CN"/>
        </w:rPr>
      </w:pPr>
      <w:r>
        <w:rPr>
          <w:rFonts w:hint="eastAsia" w:ascii="黑体" w:hAnsi="黑体" w:eastAsia="黑体" w:cs="黑体"/>
          <w:b w:val="0"/>
          <w:bCs w:val="0"/>
          <w:szCs w:val="21"/>
          <w:lang w:val="en-US" w:eastAsia="zh-CN"/>
        </w:rPr>
        <w:t>15.3 运输</w:t>
      </w:r>
    </w:p>
    <w:p>
      <w:pPr>
        <w:pStyle w:val="60"/>
        <w:bidi w:val="0"/>
        <w:rPr>
          <w:rFonts w:hint="default"/>
          <w:lang w:val="en-US" w:eastAsia="zh-CN"/>
        </w:rPr>
      </w:pPr>
      <w:r>
        <w:rPr>
          <w:rFonts w:hint="eastAsia"/>
          <w:lang w:val="en-US" w:eastAsia="zh-CN"/>
        </w:rPr>
        <w:t>冷链运输：整个运输过程温度保持</w:t>
      </w:r>
      <w:r>
        <w:rPr>
          <w:rFonts w:hint="eastAsia"/>
        </w:rPr>
        <w:t>2℃～</w:t>
      </w:r>
      <w:r>
        <w:rPr>
          <w:rFonts w:hint="eastAsia"/>
          <w:lang w:val="en-US" w:eastAsia="zh-CN"/>
        </w:rPr>
        <w:t>3</w:t>
      </w:r>
      <w:r>
        <w:rPr>
          <w:rFonts w:hint="eastAsia"/>
        </w:rPr>
        <w:t>℃</w:t>
      </w:r>
      <w:r>
        <w:rPr>
          <w:rFonts w:hint="eastAsia"/>
          <w:lang w:eastAsia="zh-CN"/>
        </w:rPr>
        <w:t>，</w:t>
      </w:r>
      <w:r>
        <w:rPr>
          <w:rFonts w:hint="eastAsia"/>
          <w:lang w:val="en-US" w:eastAsia="zh-CN"/>
        </w:rPr>
        <w:t>避免机械损伤。</w:t>
      </w:r>
    </w:p>
    <w:p>
      <w:pPr>
        <w:rPr>
          <w:rFonts w:ascii="Times New Roman" w:hAnsi="Times New Roman"/>
          <w:color w:val="000000"/>
        </w:rPr>
      </w:pPr>
      <w:r>
        <w:rPr>
          <w:rFonts w:ascii="Times New Roman" w:hAnsi="Times New Roman"/>
          <w:color w:val="000000"/>
        </w:rPr>
        <w:br w:type="page"/>
      </w:r>
    </w:p>
    <w:bookmarkEnd w:id="18"/>
    <w:p>
      <w:pPr>
        <w:pStyle w:val="204"/>
        <w:rPr>
          <w:vanish w:val="0"/>
        </w:rPr>
      </w:pPr>
    </w:p>
    <w:p>
      <w:pPr>
        <w:pStyle w:val="81"/>
        <w:spacing w:before="78" w:after="156"/>
      </w:pPr>
    </w:p>
    <w:p>
      <w:pPr>
        <w:pStyle w:val="81"/>
        <w:numPr>
          <w:ilvl w:val="0"/>
          <w:numId w:val="0"/>
        </w:numPr>
        <w:spacing w:before="78" w:after="156"/>
        <w:ind w:leftChars="0"/>
        <w:jc w:val="center"/>
        <w:rPr>
          <w:rFonts w:hint="eastAsia"/>
        </w:rPr>
      </w:pPr>
      <w:r>
        <w:rPr>
          <w:rFonts w:hint="eastAsia"/>
        </w:rPr>
        <w:t>（资料性）</w:t>
      </w:r>
    </w:p>
    <w:p>
      <w:pPr>
        <w:spacing w:line="360" w:lineRule="auto"/>
        <w:ind w:firstLine="420" w:firstLineChars="200"/>
        <w:rPr>
          <w:rFonts w:hint="default"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东方百合切花栽培常见病虫害种类及防治方法按照表A.</w:t>
      </w:r>
      <w:r>
        <w:rPr>
          <w:rFonts w:hint="eastAsia" w:cs="Times New Roman"/>
          <w:kern w:val="0"/>
          <w:sz w:val="21"/>
          <w:szCs w:val="21"/>
          <w:lang w:val="en-US" w:eastAsia="zh-CN" w:bidi="ar-SA"/>
        </w:rPr>
        <w:t>1</w:t>
      </w:r>
      <w:r>
        <w:rPr>
          <w:rFonts w:hint="eastAsia" w:ascii="Calibri" w:hAnsi="Calibri" w:eastAsia="宋体" w:cs="Times New Roman"/>
          <w:kern w:val="0"/>
          <w:sz w:val="21"/>
          <w:szCs w:val="21"/>
          <w:lang w:val="en-US" w:eastAsia="zh-CN" w:bidi="ar-SA"/>
        </w:rPr>
        <w:t>执行。</w:t>
      </w:r>
    </w:p>
    <w:p>
      <w:pPr>
        <w:pStyle w:val="82"/>
        <w:bidi w:val="0"/>
        <w:rPr>
          <w:rFonts w:hint="eastAsia" w:ascii="Calibri" w:hAnsi="Calibri" w:eastAsia="宋体" w:cs="Times New Roman"/>
          <w:kern w:val="0"/>
          <w:szCs w:val="21"/>
          <w:lang w:val="en-US" w:eastAsia="zh-CN" w:bidi="ar-SA"/>
        </w:rPr>
      </w:pPr>
      <w:r>
        <w:rPr>
          <w:rFonts w:hint="eastAsia"/>
          <w:lang w:val="en-US" w:eastAsia="zh-CN"/>
        </w:rPr>
        <w:t>东方百合病虫害种类及防治方法</w:t>
      </w:r>
    </w:p>
    <w:tbl>
      <w:tblPr>
        <w:tblStyle w:val="31"/>
        <w:tblW w:w="8748"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3"/>
        <w:gridCol w:w="3247"/>
        <w:gridCol w:w="4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病虫种类</w:t>
            </w:r>
          </w:p>
        </w:tc>
        <w:tc>
          <w:tcPr>
            <w:tcW w:w="3247"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危害特征</w:t>
            </w:r>
          </w:p>
        </w:tc>
        <w:tc>
          <w:tcPr>
            <w:tcW w:w="4308"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防治方法及药剂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灰霉病</w:t>
            </w:r>
          </w:p>
        </w:tc>
        <w:tc>
          <w:tcPr>
            <w:tcW w:w="3247"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病原菌为葡萄孢菌，属半知菌亚门真菌。主要危害叶片，也侵染茎、花、芽及鳞茎。叶上病斑圆形，病斑中心浅黄色，边缘紫红色。天气潮湿时，病部产生灰色霉层，病斑扩展后使叶片枯死。芽和花受害症状似开水烫伤，变褐后腐烂。茎部受害产生淡褐色溃疡斑，极易风折。幼株受侵染多使生长点死亡。侵染鳞茎可使鳞茎腐烂。</w:t>
            </w:r>
          </w:p>
        </w:tc>
        <w:tc>
          <w:tcPr>
            <w:tcW w:w="4308"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选用健康无病鳞茎，栽培抗病品种；</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采用设施避雨栽培，加强棚内通风，降低空气湿度。降低种植密度，减少氮肥施用量，增施钙肥、钾肥，增强抗病能力；</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发现中心病株及时拔除，将病叶和病茎集中清除、烧毁，并在病部及时喷药；</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预防期每隔7d～10d喷洒40%百菌清悬浮剂600倍液、50%多菌灵可湿性粉剂500倍液；</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发病初期，喷洒40%嘧霉胺悬浮剂1000倍液、30%吡唑醚菌酯悬浮剂1000倍液、50%咯菌腈可湿性粉剂2500倍液、50%异菌脲可湿性粉剂1000倍液，每隔3d～5d用药1次，交替使用，共施2～3次。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疫病</w:t>
            </w:r>
          </w:p>
        </w:tc>
        <w:tc>
          <w:tcPr>
            <w:tcW w:w="3247"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病原菌为恶疫霉属鞭毛菌亚门真菌。主要侵害茎、叶、花、鳞片和球根。茎部染病初生水浸状暗绿色至黑褐色腐烂，逐渐向上、下扩展，加重茎部腐烂，致植株倒折或枯死；叶片染病初生水浸状小斑，扩展成灰绿色大斑，最后导致叶片变黄；花染病呈软腐状；球茎染病出现水浸状褐斑，扩展后腐败，产生稀疏的白色霉层。</w:t>
            </w:r>
          </w:p>
        </w:tc>
        <w:tc>
          <w:tcPr>
            <w:tcW w:w="4308"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采用高畦栽培，以利于排水；</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合理轮作，进行合理的水旱轮作或与其它非百合科和非茄科作物轮作；</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施用充分腐熟的有机肥，适当增施钾肥；</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受感染土壤用隆鑫消毒；</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预防期每隔7d～10d喷洒40%百菌清悬浮剂600倍液、68.75%噁酮·锰锌水分散粒剂1000倍液，发病初期使用68%精甲霜·锰锌水分散粒剂1000倍液、72.2%霜霉威盐酸盐水剂500倍液、58%甲霜灵·锰锌可湿性粉剂500倍液、72%霜脲·锰锌可湿性粉剂500倍液1500倍液，每隔5d～7d用药1次，连续2～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枯萎病</w:t>
            </w:r>
          </w:p>
        </w:tc>
        <w:tc>
          <w:tcPr>
            <w:tcW w:w="3247"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病原菌是尖孢镰刀菌百合专化型，属半知菌亚门真菌。主要危害百合鳞茎基部和鳞片，发病后球根基盘或鳞片上产生褐色腐烂，沿鳞片向上扩展，染病鳞片常从基盘上脱落，有时在外层鳞片上出现褐色病斑，发病轻的球茎症状不明显。地上部基部叶片黄化，病株矮小。识别的标志是基部叶片在未成年就变黄，变黄叶成褐色而脱落。在茎的地下部分，出现橙色到黑褐色斑点,以后病斑扩大，最后扩展到茎内部。茎部腐烂，植株未成年就死去。</w:t>
            </w:r>
          </w:p>
        </w:tc>
        <w:tc>
          <w:tcPr>
            <w:tcW w:w="4308" w:type="dxa"/>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选择抗病性强的品种；</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合理轮作，及时拔除病株。保持通风，避免高湿和过热；</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消毒被感染土壤，施用充分腐熟的有机肥；</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选择健康无病种球进行种植，种植前对种球进行消毒，用50%的咪鲜胺锰盐可湿性粉剂1000倍液或40%的福尔马林200倍液浸泡1h；</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发病期用30%甲霜·噁霉灵水剂1000倍液、50%的咪鲜胺锰盐可湿性粉剂1000倍液、80%乙蒜素乳油800倍液、40%异菌·氟啶胺悬浮剂1000倍液灌根或均匀喷雾，每隔5d～7d用药1次，连续2～3次。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炭疽病</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病原为百合刺盘孢，属半知菌亚门真菌。主要危害叶片，也可危害花、茎、鳞茎。叶片染病，初期出现水浸状、暗绿色小点，以后发展成近圆形至椭圆形、灰白色至黄褐色坏死斑，边缘多具有浅黄色的晕环，后期在病斑上产生黑色小点；茎部染病，严重时致病部以上部位坏死。</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选择健康无病种球进行种植，种植前对种球进行消毒，用50%的咪鲜胺锰盐可湿性粉剂1000倍液或40%的福尔马林200倍液浸泡1h；</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合理密植，保持良好的通风透光；</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合理轮作，进行合理的水旱轮作或与其它非百合科和非茄科作物轮作；</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发现病株及时拔除，将病叶和病茎集中清除、烧毁，并在病部及时喷药；</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发病初期进行药剂防治，可选用30%吡唑醚菌酯悬浮剂1000倍液、25%施保克乳油800倍液、50%咪鲜胺锰盐可湿性粉剂1000倍液、10%苯醚甲环唑水分散粒剂1000倍液、25%咪鲜胺水乳剂600倍液，每隔5d～7d用药1次，连续2～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病毒病</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该病为百合常发生的病害，发病时植株矮化，开花少或不开花，鳞茎退化。症状类型：叶面出现深绿，浅绿相间的花叶，花畸形或花蕾不开放；叶上出现坏死斑，花扭曲；叶呈莲座状着生，叶色不正，节间短，幼叶反卷，全株矮化；植株发育不良，无花等。</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选择抗病毒品种；</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建立无毒良种繁殖基地，栽培脱毒组培球；</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防止接触传染，不要用手或工具接触植株，减少病毒传染机会；</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及时铲除病毒株，销毁其上鳞茎；</w:t>
            </w:r>
          </w:p>
          <w:p>
            <w:pPr>
              <w:numPr>
                <w:ilvl w:val="-1"/>
                <w:numId w:val="0"/>
              </w:num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消灭蚜虫、白粉虱、蓟马等传毒昆虫；</w:t>
            </w:r>
          </w:p>
          <w:p>
            <w:pPr>
              <w:numPr>
                <w:ilvl w:val="-1"/>
                <w:numId w:val="0"/>
              </w:num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及时铲除种植区杂草；</w:t>
            </w:r>
          </w:p>
          <w:p>
            <w:pPr>
              <w:numPr>
                <w:ilvl w:val="-1"/>
                <w:numId w:val="0"/>
              </w:num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提高土壤肥力，增施磷钾肥，增强抗病能力。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叶片枯焦</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刚现蕾时顶部叶片皱缩，不能正常舒展，继而叶尖干枯坏死；轻微时幼叶稍向内卷曲。数天后，枯焦的叶片上出现黄色到白色的斑点。叶片枯焦严重时，所有叶片和幼芽都会脱落，植株不会进一步发育。</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选择不易发病的品种和较小规格的种球；</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采用冷库生根催芽；</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种植前应让土壤湿润；</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种植深度要适宜，在鳞茎上方应6cm～10cm的土层；</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避免温室中的温度和相对湿度有大的差异,尽量保持相对湿度在 75％左右；</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发病初期追施或叶面喷施钙肥。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落蕾干缩</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在花蕾长到 1cm～2cm时会出现落蕾。蕾的颜色转为淡绿色，同时，与茎相连的花梗缩短，随后蕾脱落。在春季，低位蕾首先受影响，而在秋季，高位蕾将首先脱落。</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不要将易落蕾的品种栽培在光照差的环境下。为防止蕾干缩在栽培期间鳞茎不能干燥。确保鳞茎的根系良好并让它们生长在尽可能适宜的件下，尤其要注意光照和蒸腾。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落叶黄叶</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百合生长中后期、花芽生长期，出现植株中下部叶片缺绿或死亡的现象，表现为叶片从下部开始发黄并脱落。百合落叶、黄叶的主要原因是：土壤透气性差或干旱，茎生根发育不良；低温冻害或高温；土壤养分缺乏、受到污染、PH值不合适；植株种植密度过多，导致植株营养缺乏。</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百合在种植前一定要充分改良土壤。种植后如土壤板结，可采用浅锄；</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种植密度不宜过大；</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适当灌水。灌溉百合切忌过湿，保持土壤含水量适中非常重要，浇水遵循“见干见湿”原则；</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冬季生产尽可能提高地温和空气温度，适时放风；</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光照不足、通风不良等造成黄叶、落叶，可把下部的老叶片掰除一部分。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花苞畸形</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花苞扭曲，花瓣分离开裂，雌蕊和雄蕊外露。开花后花瓣卷曲、畸形。发生的主要原因：环境变化剧烈，受到生理胁迫。种球冷藏时间过长、储存不当、发生冻害；生长过程中温湿度变化剧烈；农药使用不当导致药害等都会导致裂苞；冬季设施栽培，夜间温度过低，夏季栽培温度过高容易导致畸形苞出现；感染病毒病，造成花叶畸形、花瓣扭曲；生长过程中缺乏钙、硼元素，易发生花苞畸形现象。</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规范种球采后处理和贮藏技术规程，创造良好的生长环境，适度合理用药；</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夜间温度控制在12℃～15℃，白天20℃～25℃，湿度在保持在70%～ 75%；</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选用健壮的鳞茎繁殖，设立无病留种地，发现病株及时拔除，有病株茎不得用于繁殖。百合生长期及时喷洒杀虫药剂；</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生长期适时补充钙、硼等元素。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蚜虫</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叶片发黄变形，植株萎缩，花蕾畸形，花期缩短，传播病毒病，引起煤污病，影响观赏价值。</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药剂防治可用10%吡虫啉水剂800倍液、20%啶虫脒水剂1000倍液、70%噻虫嗪水分散粒剂1500倍液每隔5d～7d用药1次，连续2～3次。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刺足根螨</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鳞茎被害后，植株矮小发黄，受害重的鳞茎，全部变褐色，腐烂发臭。导致地上部植株矮小、瘦弱，花为畸形，且小，严重影响花卉的观赏价值。</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加强栽培管理，高温季节深耕暴晒，消灭根螨，栽种前对土壤严格消毒；</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不宜连作，可减少虫源；</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种植前可对鳞茎进行挑选，选择无虫的鳞茎种植。在储藏百合时室内要保证通风干燥，这样可以抑制根螨的生长和繁殖；</w:t>
            </w:r>
          </w:p>
          <w:p>
            <w:pPr>
              <w:spacing w:line="240" w:lineRule="auto"/>
              <w:rPr>
                <w:rFonts w:hint="default"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对鳞茎进行消毒，将被害鳞茎用50%咪鲜胺锰盐1000倍液+1%申嗪霉素1000倍液+8%宁南霉素1000倍液+0.3%印楝素500倍液+39℃～40℃温水消毒1h～2h，可有效杀死根螨。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3" w:type="dxa"/>
          </w:tcPr>
          <w:p>
            <w:pPr>
              <w:spacing w:line="240" w:lineRule="auto"/>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迟眼蕈蚊</w:t>
            </w:r>
          </w:p>
        </w:tc>
        <w:tc>
          <w:tcPr>
            <w:tcW w:w="3247"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迟眼蕈蚊幼虫钻食百合地下鳞茎部分，造成地上叶片瘦弱、枯黄、萎蔫断叶，幼虫常聚集在根部鳞茎里引起腐烂，严重时可造成百合成片死亡，损失很大。</w:t>
            </w:r>
          </w:p>
        </w:tc>
        <w:tc>
          <w:tcPr>
            <w:tcW w:w="4308" w:type="dxa"/>
          </w:tcPr>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科学施肥：不施未经堆沤腐熟的有机肥或饼肥。腐熟的肥料要开沟深施后覆土，防止成虫产卵；</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清除迟眼蕈蚊繁殖场所，要及时清理田地里的残枝枯叶及杂草，降低幼虫孵化率和成虫羽化率；</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栽种前对土壤严格消毒，不宜连作；</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种植前可对鳞茎进行挑选，选择无虫的鳞茎种植；</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草木灰防治：覆土前沟施草木灰后再覆土盖严，施草木灰后可根据情况尽量晚浇水，以保持土壤不致过湿。草木灰还是一种好肥料，能促进百合；</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悬挂黄蓝板，安装杀虫灯；</w:t>
            </w:r>
          </w:p>
          <w:p>
            <w:pPr>
              <w:spacing w:line="240" w:lineRule="auto"/>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种球定植前，将被害鳞茎用50%咪鲜胺锰盐1000倍液+1%申嗪霉素1000倍液+8%宁南霉素1000倍液+0.3%印楝素500倍液+39℃～40℃温水消毒1h～2h，幼虫发生初期用50%辛硫磷乳油 800～1000 倍液灌根，7d～10d再灌一次，成虫盛发期在上午9～11时叶片喷撒25%溴氰菊酯乳油1000倍液或2.5%高效氯氟氰菊酯乳油 800倍液。</w:t>
            </w:r>
          </w:p>
        </w:tc>
      </w:tr>
    </w:tbl>
    <w:p>
      <w:pPr>
        <w:spacing w:line="360" w:lineRule="auto"/>
        <w:jc w:val="center"/>
        <w:rPr>
          <w:rFonts w:hint="eastAsia" w:ascii="黑体" w:hAnsi="宋体" w:eastAsia="黑体"/>
          <w:b/>
          <w:szCs w:val="21"/>
        </w:rPr>
      </w:pPr>
    </w:p>
    <w:p>
      <w:pPr>
        <w:ind w:firstLine="0" w:firstLineChars="0"/>
        <w:rPr>
          <w:rFonts w:hint="eastAsia"/>
          <w:lang w:val="en-US" w:eastAsia="zh-CN"/>
        </w:rPr>
      </w:pPr>
    </w:p>
    <w:p>
      <w:pPr>
        <w:jc w:val="center"/>
        <w:rPr>
          <w:rFonts w:hint="eastAsia"/>
        </w:rPr>
      </w:pPr>
      <w:r>
        <w:drawing>
          <wp:inline distT="0" distB="0" distL="0" distR="0">
            <wp:extent cx="1466850" cy="19050"/>
            <wp:effectExtent l="19050" t="0" r="0" b="0"/>
            <wp:docPr id="1" name="图片 1" descr="C:\Users\admin\AppData\Local\Temp\ksohtml\wps4E5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AppData\Local\Temp\ksohtml\wps4E54.tmp.png"/>
                    <pic:cNvPicPr>
                      <a:picLocks noChangeAspect="1" noChangeArrowheads="1"/>
                    </pic:cNvPicPr>
                  </pic:nvPicPr>
                  <pic:blipFill>
                    <a:blip r:embed="rId15" cstate="print"/>
                    <a:srcRect/>
                    <a:stretch>
                      <a:fillRect/>
                    </a:stretch>
                  </pic:blipFill>
                  <pic:spPr>
                    <a:xfrm>
                      <a:off x="0" y="0"/>
                      <a:ext cx="1466850" cy="19050"/>
                    </a:xfrm>
                    <a:prstGeom prst="rect">
                      <a:avLst/>
                    </a:prstGeom>
                    <a:noFill/>
                    <a:ln w="9525">
                      <a:noFill/>
                      <a:miter lim="800000"/>
                      <a:headEnd/>
                      <a:tailEnd/>
                    </a:ln>
                  </pic:spPr>
                </pic:pic>
              </a:graphicData>
            </a:graphic>
          </wp:inline>
        </w:drawing>
      </w:r>
    </w:p>
    <w:sectPr>
      <w:footerReference r:id="rId12" w:type="default"/>
      <w:pgSz w:w="11906" w:h="16838"/>
      <w:pgMar w:top="2410"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pPr>
                          <w:r>
                            <w:fldChar w:fldCharType="begin"/>
                          </w:r>
                          <w:r>
                            <w:instrText xml:space="preserve">PAGE   \* MERGEFORMAT</w:instrText>
                          </w:r>
                          <w:r>
                            <w:fldChar w:fldCharType="separate"/>
                          </w:r>
                          <w:r>
                            <w:rPr>
                              <w:lang w:val="zh-CN"/>
                            </w:rPr>
                            <w:t>I</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7"/>
                          </w:pPr>
                          <w:r>
                            <w:fldChar w:fldCharType="begin"/>
                          </w:r>
                          <w:r>
                            <w:instrText xml:space="preserve">PAGE   \* MERGEFORMAT</w:instrText>
                          </w:r>
                          <w:r>
                            <w:fldChar w:fldCharType="separate"/>
                          </w:r>
                          <w:r>
                            <w:rPr>
                              <w:lang w:val="zh-CN"/>
                            </w:rPr>
                            <w:t>4</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UAe8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FQB7yQEAAJkDAAAOAAAAAAAAAAEAIAAAAB4BAABkcnMvZTJvRG9j&#10;LnhtbFBLBQYAAAAABgAGAFkBAABZBQAAAAA=&#10;">
              <v:fill on="f" focussize="0,0"/>
              <v:stroke on="f"/>
              <v:imagedata o:title=""/>
              <o:lock v:ext="edit" aspectratio="f"/>
              <v:textbox inset="0mm,0mm,0mm,0mm" style="mso-fit-shape-to-text:t;">
                <w:txbxContent>
                  <w:p>
                    <w:pPr>
                      <w:pStyle w:val="57"/>
                    </w:pPr>
                    <w:r>
                      <w:fldChar w:fldCharType="begin"/>
                    </w:r>
                    <w:r>
                      <w:instrText xml:space="preserve">PAGE   \* MERGEFORMAT</w:instrText>
                    </w:r>
                    <w:r>
                      <w:fldChar w:fldCharType="separate"/>
                    </w:r>
                    <w:r>
                      <w:rPr>
                        <w:lang w:val="zh-CN"/>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DB21/TXXXX—2024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DB21/TXXXX—2024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default" w:ascii="黑体" w:eastAsia="黑体"/>
        <w:b w:val="0"/>
        <w:i w:val="0"/>
        <w:color w:val="FF000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jgyNzkwZTY1OWNjMGQ2MjIyMzdmNWE2MmRkY2EifQ=="/>
  </w:docVars>
  <w:rsids>
    <w:rsidRoot w:val="00833EF5"/>
    <w:rsid w:val="0000040A"/>
    <w:rsid w:val="00000A94"/>
    <w:rsid w:val="00001972"/>
    <w:rsid w:val="00001D9A"/>
    <w:rsid w:val="0000315C"/>
    <w:rsid w:val="00007B3A"/>
    <w:rsid w:val="000107E0"/>
    <w:rsid w:val="00011FDE"/>
    <w:rsid w:val="00012FFD"/>
    <w:rsid w:val="00014023"/>
    <w:rsid w:val="00014162"/>
    <w:rsid w:val="00014340"/>
    <w:rsid w:val="00016A9C"/>
    <w:rsid w:val="00022184"/>
    <w:rsid w:val="000221C5"/>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5FC"/>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79A"/>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B77"/>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DEA"/>
    <w:rsid w:val="00176DFD"/>
    <w:rsid w:val="001852C9"/>
    <w:rsid w:val="00190087"/>
    <w:rsid w:val="001913C4"/>
    <w:rsid w:val="00191735"/>
    <w:rsid w:val="0019348F"/>
    <w:rsid w:val="00193A07"/>
    <w:rsid w:val="00194C95"/>
    <w:rsid w:val="00195C34"/>
    <w:rsid w:val="00196EF5"/>
    <w:rsid w:val="001A1A53"/>
    <w:rsid w:val="001A234A"/>
    <w:rsid w:val="001A4CF3"/>
    <w:rsid w:val="001B06E8"/>
    <w:rsid w:val="001B61AB"/>
    <w:rsid w:val="001B71D0"/>
    <w:rsid w:val="001B71EE"/>
    <w:rsid w:val="001C0486"/>
    <w:rsid w:val="001C04A8"/>
    <w:rsid w:val="001C2C03"/>
    <w:rsid w:val="001C42F7"/>
    <w:rsid w:val="001C49E5"/>
    <w:rsid w:val="001C680C"/>
    <w:rsid w:val="001C7FEA"/>
    <w:rsid w:val="001D0499"/>
    <w:rsid w:val="001D0BBE"/>
    <w:rsid w:val="001D0ED4"/>
    <w:rsid w:val="001D212F"/>
    <w:rsid w:val="001D29D7"/>
    <w:rsid w:val="001D2DE7"/>
    <w:rsid w:val="001D411C"/>
    <w:rsid w:val="001D62F9"/>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B74"/>
    <w:rsid w:val="002142EA"/>
    <w:rsid w:val="002204BB"/>
    <w:rsid w:val="00221B79"/>
    <w:rsid w:val="00221C6B"/>
    <w:rsid w:val="00224261"/>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CF4"/>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6D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2994"/>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36E"/>
    <w:rsid w:val="0032258D"/>
    <w:rsid w:val="00322E62"/>
    <w:rsid w:val="00324D13"/>
    <w:rsid w:val="00324D2A"/>
    <w:rsid w:val="00324EDD"/>
    <w:rsid w:val="003331E4"/>
    <w:rsid w:val="00336C64"/>
    <w:rsid w:val="00337162"/>
    <w:rsid w:val="0034194F"/>
    <w:rsid w:val="0034230E"/>
    <w:rsid w:val="00344605"/>
    <w:rsid w:val="003474AA"/>
    <w:rsid w:val="00350191"/>
    <w:rsid w:val="00350D1D"/>
    <w:rsid w:val="00352C83"/>
    <w:rsid w:val="003566FF"/>
    <w:rsid w:val="003615D2"/>
    <w:rsid w:val="0036429C"/>
    <w:rsid w:val="00364A53"/>
    <w:rsid w:val="003654CB"/>
    <w:rsid w:val="00365AA9"/>
    <w:rsid w:val="00365F86"/>
    <w:rsid w:val="00365F87"/>
    <w:rsid w:val="00366E89"/>
    <w:rsid w:val="003705F4"/>
    <w:rsid w:val="00370D58"/>
    <w:rsid w:val="00371316"/>
    <w:rsid w:val="003720EB"/>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9F2"/>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3F6E83"/>
    <w:rsid w:val="00400E72"/>
    <w:rsid w:val="00401400"/>
    <w:rsid w:val="00402B71"/>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1A68"/>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26CE"/>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4BA8"/>
    <w:rsid w:val="00505767"/>
    <w:rsid w:val="005073F0"/>
    <w:rsid w:val="00510A7B"/>
    <w:rsid w:val="00512F6E"/>
    <w:rsid w:val="00513038"/>
    <w:rsid w:val="00514174"/>
    <w:rsid w:val="00516088"/>
    <w:rsid w:val="00516B0B"/>
    <w:rsid w:val="005220EC"/>
    <w:rsid w:val="00522404"/>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236"/>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699"/>
    <w:rsid w:val="00645904"/>
    <w:rsid w:val="00651ACB"/>
    <w:rsid w:val="00651C47"/>
    <w:rsid w:val="006527C1"/>
    <w:rsid w:val="00652AB2"/>
    <w:rsid w:val="00653FED"/>
    <w:rsid w:val="00654EC0"/>
    <w:rsid w:val="0065525B"/>
    <w:rsid w:val="00655D4F"/>
    <w:rsid w:val="00656D29"/>
    <w:rsid w:val="006640E5"/>
    <w:rsid w:val="006646F1"/>
    <w:rsid w:val="00664929"/>
    <w:rsid w:val="00664F62"/>
    <w:rsid w:val="006655E1"/>
    <w:rsid w:val="00672060"/>
    <w:rsid w:val="00672BFD"/>
    <w:rsid w:val="006731E5"/>
    <w:rsid w:val="006770F4"/>
    <w:rsid w:val="00677A84"/>
    <w:rsid w:val="0068026D"/>
    <w:rsid w:val="00680A27"/>
    <w:rsid w:val="006816A4"/>
    <w:rsid w:val="006819B8"/>
    <w:rsid w:val="0068211D"/>
    <w:rsid w:val="006840A6"/>
    <w:rsid w:val="006850CD"/>
    <w:rsid w:val="00685AAB"/>
    <w:rsid w:val="00693EF3"/>
    <w:rsid w:val="00695D22"/>
    <w:rsid w:val="006A07AA"/>
    <w:rsid w:val="006A25E5"/>
    <w:rsid w:val="006A2B46"/>
    <w:rsid w:val="006A336D"/>
    <w:rsid w:val="006A37B9"/>
    <w:rsid w:val="006B2672"/>
    <w:rsid w:val="006B54BF"/>
    <w:rsid w:val="006B5F44"/>
    <w:rsid w:val="006B5F90"/>
    <w:rsid w:val="006B62E4"/>
    <w:rsid w:val="006C1BBA"/>
    <w:rsid w:val="006C2079"/>
    <w:rsid w:val="006C31A5"/>
    <w:rsid w:val="006C3D0B"/>
    <w:rsid w:val="006C5A62"/>
    <w:rsid w:val="006C5D68"/>
    <w:rsid w:val="006C6976"/>
    <w:rsid w:val="006C6DD0"/>
    <w:rsid w:val="006D04EA"/>
    <w:rsid w:val="006D16C4"/>
    <w:rsid w:val="006D1D4E"/>
    <w:rsid w:val="006D3E96"/>
    <w:rsid w:val="006D4515"/>
    <w:rsid w:val="006D4BB1"/>
    <w:rsid w:val="006D6593"/>
    <w:rsid w:val="006E23EA"/>
    <w:rsid w:val="006F03A8"/>
    <w:rsid w:val="006F2ACA"/>
    <w:rsid w:val="006F2ADC"/>
    <w:rsid w:val="006F2BFE"/>
    <w:rsid w:val="006F31E9"/>
    <w:rsid w:val="006F6284"/>
    <w:rsid w:val="007002C5"/>
    <w:rsid w:val="00700BC3"/>
    <w:rsid w:val="00704387"/>
    <w:rsid w:val="00707669"/>
    <w:rsid w:val="00711CBA"/>
    <w:rsid w:val="00711FB5"/>
    <w:rsid w:val="00712A01"/>
    <w:rsid w:val="00713F3B"/>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36E8"/>
    <w:rsid w:val="007B415D"/>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6F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BDF"/>
    <w:rsid w:val="0083348C"/>
    <w:rsid w:val="00833EF5"/>
    <w:rsid w:val="008373D3"/>
    <w:rsid w:val="00840617"/>
    <w:rsid w:val="00840F84"/>
    <w:rsid w:val="00842A47"/>
    <w:rsid w:val="00843C13"/>
    <w:rsid w:val="0084445A"/>
    <w:rsid w:val="008454F8"/>
    <w:rsid w:val="00846467"/>
    <w:rsid w:val="0085173A"/>
    <w:rsid w:val="00854779"/>
    <w:rsid w:val="00855DDE"/>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698"/>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405"/>
    <w:rsid w:val="00913CA9"/>
    <w:rsid w:val="009145AE"/>
    <w:rsid w:val="009146CE"/>
    <w:rsid w:val="00914CA7"/>
    <w:rsid w:val="00915C3E"/>
    <w:rsid w:val="009161A8"/>
    <w:rsid w:val="00920B8B"/>
    <w:rsid w:val="00920D26"/>
    <w:rsid w:val="009245F5"/>
    <w:rsid w:val="009249EC"/>
    <w:rsid w:val="009273B3"/>
    <w:rsid w:val="009305B5"/>
    <w:rsid w:val="0093605F"/>
    <w:rsid w:val="009429D5"/>
    <w:rsid w:val="00942BF1"/>
    <w:rsid w:val="00945180"/>
    <w:rsid w:val="00945428"/>
    <w:rsid w:val="0094607B"/>
    <w:rsid w:val="00953604"/>
    <w:rsid w:val="0095496B"/>
    <w:rsid w:val="009610DC"/>
    <w:rsid w:val="00961490"/>
    <w:rsid w:val="0096381A"/>
    <w:rsid w:val="00965E04"/>
    <w:rsid w:val="009674AD"/>
    <w:rsid w:val="00970CDC"/>
    <w:rsid w:val="0097391F"/>
    <w:rsid w:val="00976AEB"/>
    <w:rsid w:val="00977010"/>
    <w:rsid w:val="00977D02"/>
    <w:rsid w:val="009809BB"/>
    <w:rsid w:val="0098364B"/>
    <w:rsid w:val="009860D3"/>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B6C5E"/>
    <w:rsid w:val="009C27F1"/>
    <w:rsid w:val="009C3152"/>
    <w:rsid w:val="009C4CFA"/>
    <w:rsid w:val="009C5070"/>
    <w:rsid w:val="009D112C"/>
    <w:rsid w:val="009D47FA"/>
    <w:rsid w:val="009D4C5B"/>
    <w:rsid w:val="009D50D2"/>
    <w:rsid w:val="009D6BCA"/>
    <w:rsid w:val="009E0F62"/>
    <w:rsid w:val="009E4A58"/>
    <w:rsid w:val="009E54E2"/>
    <w:rsid w:val="009E5A2D"/>
    <w:rsid w:val="009E5AB2"/>
    <w:rsid w:val="009E6219"/>
    <w:rsid w:val="009F03B3"/>
    <w:rsid w:val="009F7036"/>
    <w:rsid w:val="00A0096C"/>
    <w:rsid w:val="00A01757"/>
    <w:rsid w:val="00A028C0"/>
    <w:rsid w:val="00A02BAE"/>
    <w:rsid w:val="00A06A6B"/>
    <w:rsid w:val="00A07E47"/>
    <w:rsid w:val="00A129D0"/>
    <w:rsid w:val="00A12C33"/>
    <w:rsid w:val="00A138BA"/>
    <w:rsid w:val="00A13E1D"/>
    <w:rsid w:val="00A14C8E"/>
    <w:rsid w:val="00A153D9"/>
    <w:rsid w:val="00A15822"/>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1B22"/>
    <w:rsid w:val="00A648CD"/>
    <w:rsid w:val="00A6537A"/>
    <w:rsid w:val="00A6597C"/>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E7D03"/>
    <w:rsid w:val="00AF0C18"/>
    <w:rsid w:val="00AF47C5"/>
    <w:rsid w:val="00AF5398"/>
    <w:rsid w:val="00B02A43"/>
    <w:rsid w:val="00B049AF"/>
    <w:rsid w:val="00B07242"/>
    <w:rsid w:val="00B10534"/>
    <w:rsid w:val="00B113DB"/>
    <w:rsid w:val="00B11D8A"/>
    <w:rsid w:val="00B1262E"/>
    <w:rsid w:val="00B12981"/>
    <w:rsid w:val="00B147DD"/>
    <w:rsid w:val="00B156FD"/>
    <w:rsid w:val="00B21F61"/>
    <w:rsid w:val="00B261F1"/>
    <w:rsid w:val="00B265BC"/>
    <w:rsid w:val="00B31FB1"/>
    <w:rsid w:val="00B33952"/>
    <w:rsid w:val="00B33C5E"/>
    <w:rsid w:val="00B342F4"/>
    <w:rsid w:val="00B34369"/>
    <w:rsid w:val="00B34DC2"/>
    <w:rsid w:val="00B35BB2"/>
    <w:rsid w:val="00B378E5"/>
    <w:rsid w:val="00B4346D"/>
    <w:rsid w:val="00B440F4"/>
    <w:rsid w:val="00B447A5"/>
    <w:rsid w:val="00B4654C"/>
    <w:rsid w:val="00B4691D"/>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1F8"/>
    <w:rsid w:val="00B96D40"/>
    <w:rsid w:val="00B97386"/>
    <w:rsid w:val="00BA263B"/>
    <w:rsid w:val="00BA42B2"/>
    <w:rsid w:val="00BA58D4"/>
    <w:rsid w:val="00BA5B9E"/>
    <w:rsid w:val="00BA7C9A"/>
    <w:rsid w:val="00BB04CD"/>
    <w:rsid w:val="00BB4867"/>
    <w:rsid w:val="00BB5F8F"/>
    <w:rsid w:val="00BB657A"/>
    <w:rsid w:val="00BC1A4E"/>
    <w:rsid w:val="00BC5DC7"/>
    <w:rsid w:val="00BC6B8B"/>
    <w:rsid w:val="00BC73D8"/>
    <w:rsid w:val="00BD1823"/>
    <w:rsid w:val="00BD52D7"/>
    <w:rsid w:val="00BD5AD2"/>
    <w:rsid w:val="00BE22F3"/>
    <w:rsid w:val="00BE5B52"/>
    <w:rsid w:val="00BE7B8D"/>
    <w:rsid w:val="00BF0993"/>
    <w:rsid w:val="00BF10A9"/>
    <w:rsid w:val="00BF1703"/>
    <w:rsid w:val="00BF231C"/>
    <w:rsid w:val="00BF51E5"/>
    <w:rsid w:val="00BF5B5B"/>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847"/>
    <w:rsid w:val="00C33E50"/>
    <w:rsid w:val="00C34C20"/>
    <w:rsid w:val="00C35A3E"/>
    <w:rsid w:val="00C40AD4"/>
    <w:rsid w:val="00C42130"/>
    <w:rsid w:val="00C423A4"/>
    <w:rsid w:val="00C44BF5"/>
    <w:rsid w:val="00C45EC4"/>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D77"/>
    <w:rsid w:val="00C905FC"/>
    <w:rsid w:val="00C92D03"/>
    <w:rsid w:val="00C92D9B"/>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1EC8"/>
    <w:rsid w:val="00D223DE"/>
    <w:rsid w:val="00D25E37"/>
    <w:rsid w:val="00D2661A"/>
    <w:rsid w:val="00D27582"/>
    <w:rsid w:val="00D27EC4"/>
    <w:rsid w:val="00D32719"/>
    <w:rsid w:val="00D33333"/>
    <w:rsid w:val="00D33457"/>
    <w:rsid w:val="00D352A2"/>
    <w:rsid w:val="00D36A93"/>
    <w:rsid w:val="00D36F42"/>
    <w:rsid w:val="00D4162B"/>
    <w:rsid w:val="00D4514F"/>
    <w:rsid w:val="00D451E2"/>
    <w:rsid w:val="00D45593"/>
    <w:rsid w:val="00D45E89"/>
    <w:rsid w:val="00D45E8D"/>
    <w:rsid w:val="00D466AE"/>
    <w:rsid w:val="00D4734F"/>
    <w:rsid w:val="00D51BF3"/>
    <w:rsid w:val="00D5599D"/>
    <w:rsid w:val="00D66846"/>
    <w:rsid w:val="00D675FB"/>
    <w:rsid w:val="00D71F25"/>
    <w:rsid w:val="00D72A9C"/>
    <w:rsid w:val="00D74B0D"/>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FCE"/>
    <w:rsid w:val="00E60C63"/>
    <w:rsid w:val="00E62FF9"/>
    <w:rsid w:val="00E635D6"/>
    <w:rsid w:val="00E639BC"/>
    <w:rsid w:val="00E664CC"/>
    <w:rsid w:val="00E70388"/>
    <w:rsid w:val="00E70434"/>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49A"/>
    <w:rsid w:val="00EB74DB"/>
    <w:rsid w:val="00EC5359"/>
    <w:rsid w:val="00EC562A"/>
    <w:rsid w:val="00ED067A"/>
    <w:rsid w:val="00ED2B50"/>
    <w:rsid w:val="00ED68DD"/>
    <w:rsid w:val="00EE0350"/>
    <w:rsid w:val="00EE0719"/>
    <w:rsid w:val="00EE0E80"/>
    <w:rsid w:val="00EE54A6"/>
    <w:rsid w:val="00EE613F"/>
    <w:rsid w:val="00EE7295"/>
    <w:rsid w:val="00EE7869"/>
    <w:rsid w:val="00EF054A"/>
    <w:rsid w:val="00EF3235"/>
    <w:rsid w:val="00EF7E72"/>
    <w:rsid w:val="00F06D37"/>
    <w:rsid w:val="00F07B9D"/>
    <w:rsid w:val="00F102A0"/>
    <w:rsid w:val="00F11586"/>
    <w:rsid w:val="00F1183B"/>
    <w:rsid w:val="00F11C9F"/>
    <w:rsid w:val="00F12263"/>
    <w:rsid w:val="00F1409D"/>
    <w:rsid w:val="00F14214"/>
    <w:rsid w:val="00F157A9"/>
    <w:rsid w:val="00F25BB6"/>
    <w:rsid w:val="00F26B7E"/>
    <w:rsid w:val="00F27A3B"/>
    <w:rsid w:val="00F33817"/>
    <w:rsid w:val="00F416D7"/>
    <w:rsid w:val="00F420D5"/>
    <w:rsid w:val="00F451EA"/>
    <w:rsid w:val="00F45447"/>
    <w:rsid w:val="00F456C6"/>
    <w:rsid w:val="00F4577B"/>
    <w:rsid w:val="00F46496"/>
    <w:rsid w:val="00F474D0"/>
    <w:rsid w:val="00F50179"/>
    <w:rsid w:val="00F515EE"/>
    <w:rsid w:val="00F55A8A"/>
    <w:rsid w:val="00F56511"/>
    <w:rsid w:val="00F569CB"/>
    <w:rsid w:val="00F6194E"/>
    <w:rsid w:val="00F623AC"/>
    <w:rsid w:val="00F6412A"/>
    <w:rsid w:val="00F65893"/>
    <w:rsid w:val="00F66A4A"/>
    <w:rsid w:val="00F71E22"/>
    <w:rsid w:val="00F72142"/>
    <w:rsid w:val="00F72AE7"/>
    <w:rsid w:val="00F77F7D"/>
    <w:rsid w:val="00F81141"/>
    <w:rsid w:val="00F833BA"/>
    <w:rsid w:val="00F84FD0"/>
    <w:rsid w:val="00F859A8"/>
    <w:rsid w:val="00F86D87"/>
    <w:rsid w:val="00F9108B"/>
    <w:rsid w:val="00F91349"/>
    <w:rsid w:val="00F93A8A"/>
    <w:rsid w:val="00F945FD"/>
    <w:rsid w:val="00F95248"/>
    <w:rsid w:val="00F956A9"/>
    <w:rsid w:val="00F963ED"/>
    <w:rsid w:val="00F966CF"/>
    <w:rsid w:val="00F96CAE"/>
    <w:rsid w:val="00F97C99"/>
    <w:rsid w:val="00FA4DAC"/>
    <w:rsid w:val="00FA662D"/>
    <w:rsid w:val="00FA73B1"/>
    <w:rsid w:val="00FB0CB9"/>
    <w:rsid w:val="00FB20DD"/>
    <w:rsid w:val="00FB231D"/>
    <w:rsid w:val="00FB45D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1A6"/>
    <w:rsid w:val="00FE3901"/>
    <w:rsid w:val="00FE39D3"/>
    <w:rsid w:val="00FE4BCE"/>
    <w:rsid w:val="00FE54AE"/>
    <w:rsid w:val="00FE576A"/>
    <w:rsid w:val="00FE7E79"/>
    <w:rsid w:val="00FF10B5"/>
    <w:rsid w:val="00FF3E7D"/>
    <w:rsid w:val="00FF5B99"/>
    <w:rsid w:val="00FF730C"/>
    <w:rsid w:val="00FF73F4"/>
    <w:rsid w:val="00FF7CE4"/>
    <w:rsid w:val="00FF7E39"/>
    <w:rsid w:val="015636B0"/>
    <w:rsid w:val="02020792"/>
    <w:rsid w:val="023659D8"/>
    <w:rsid w:val="028E4F47"/>
    <w:rsid w:val="02C42CCF"/>
    <w:rsid w:val="04AB2EAB"/>
    <w:rsid w:val="0580157C"/>
    <w:rsid w:val="06B917F9"/>
    <w:rsid w:val="06BA455D"/>
    <w:rsid w:val="070E15E9"/>
    <w:rsid w:val="0802440D"/>
    <w:rsid w:val="09D97AF6"/>
    <w:rsid w:val="09DE6930"/>
    <w:rsid w:val="0B226B5E"/>
    <w:rsid w:val="0D36384F"/>
    <w:rsid w:val="0DF91E0E"/>
    <w:rsid w:val="0EAB5950"/>
    <w:rsid w:val="0EE83C31"/>
    <w:rsid w:val="0F6C6610"/>
    <w:rsid w:val="0F733C06"/>
    <w:rsid w:val="0FC13905"/>
    <w:rsid w:val="10331CA1"/>
    <w:rsid w:val="10EE0160"/>
    <w:rsid w:val="11255992"/>
    <w:rsid w:val="11AC2DC6"/>
    <w:rsid w:val="12863B19"/>
    <w:rsid w:val="134B55E7"/>
    <w:rsid w:val="148625B4"/>
    <w:rsid w:val="14890F64"/>
    <w:rsid w:val="148D658A"/>
    <w:rsid w:val="14C52A4A"/>
    <w:rsid w:val="150D41ED"/>
    <w:rsid w:val="151B4101"/>
    <w:rsid w:val="15453F8A"/>
    <w:rsid w:val="156858FF"/>
    <w:rsid w:val="170338DB"/>
    <w:rsid w:val="172B1C15"/>
    <w:rsid w:val="19BE3F0C"/>
    <w:rsid w:val="19D42711"/>
    <w:rsid w:val="1A722E81"/>
    <w:rsid w:val="1A935A0E"/>
    <w:rsid w:val="1B2E27FB"/>
    <w:rsid w:val="1BBD2F38"/>
    <w:rsid w:val="1C5110D0"/>
    <w:rsid w:val="1CEA744B"/>
    <w:rsid w:val="1DC76AC2"/>
    <w:rsid w:val="1E8C282B"/>
    <w:rsid w:val="1FAD48DE"/>
    <w:rsid w:val="205224AF"/>
    <w:rsid w:val="217A324B"/>
    <w:rsid w:val="22DD3655"/>
    <w:rsid w:val="22F83FEB"/>
    <w:rsid w:val="235D02F2"/>
    <w:rsid w:val="24A94487"/>
    <w:rsid w:val="24F5112A"/>
    <w:rsid w:val="250C48B2"/>
    <w:rsid w:val="252803B5"/>
    <w:rsid w:val="2695231E"/>
    <w:rsid w:val="279D7CAC"/>
    <w:rsid w:val="287C0E96"/>
    <w:rsid w:val="28AF15F0"/>
    <w:rsid w:val="29933004"/>
    <w:rsid w:val="29E76BEA"/>
    <w:rsid w:val="2A3873C3"/>
    <w:rsid w:val="2A546200"/>
    <w:rsid w:val="2A5E3272"/>
    <w:rsid w:val="2A7156C5"/>
    <w:rsid w:val="2B74445E"/>
    <w:rsid w:val="2C5F332D"/>
    <w:rsid w:val="2C896575"/>
    <w:rsid w:val="2CE34B0B"/>
    <w:rsid w:val="2DB310CF"/>
    <w:rsid w:val="2DED61C6"/>
    <w:rsid w:val="2E8174AF"/>
    <w:rsid w:val="2FC433C7"/>
    <w:rsid w:val="30487F41"/>
    <w:rsid w:val="30BE149C"/>
    <w:rsid w:val="31A17DC3"/>
    <w:rsid w:val="32020C8E"/>
    <w:rsid w:val="32B53744"/>
    <w:rsid w:val="33123ED2"/>
    <w:rsid w:val="331541DB"/>
    <w:rsid w:val="341113B0"/>
    <w:rsid w:val="342671A1"/>
    <w:rsid w:val="35471339"/>
    <w:rsid w:val="359252E2"/>
    <w:rsid w:val="35FC0D65"/>
    <w:rsid w:val="37F97C18"/>
    <w:rsid w:val="384F6612"/>
    <w:rsid w:val="39251100"/>
    <w:rsid w:val="39C72511"/>
    <w:rsid w:val="3AB610E6"/>
    <w:rsid w:val="3B79050B"/>
    <w:rsid w:val="3D6879A3"/>
    <w:rsid w:val="3EFB0C93"/>
    <w:rsid w:val="3F7939A2"/>
    <w:rsid w:val="4059500E"/>
    <w:rsid w:val="409C0254"/>
    <w:rsid w:val="40F243E9"/>
    <w:rsid w:val="416E2D75"/>
    <w:rsid w:val="42500DE6"/>
    <w:rsid w:val="42725710"/>
    <w:rsid w:val="42DC3C92"/>
    <w:rsid w:val="438D555E"/>
    <w:rsid w:val="443A477E"/>
    <w:rsid w:val="444D6CDA"/>
    <w:rsid w:val="447C2D5C"/>
    <w:rsid w:val="44FC4204"/>
    <w:rsid w:val="45881F4C"/>
    <w:rsid w:val="4841335B"/>
    <w:rsid w:val="48876C43"/>
    <w:rsid w:val="48F055E1"/>
    <w:rsid w:val="4AAB254E"/>
    <w:rsid w:val="4AD27D0E"/>
    <w:rsid w:val="4AF373D7"/>
    <w:rsid w:val="4BDE5BC4"/>
    <w:rsid w:val="4DC94652"/>
    <w:rsid w:val="4E082731"/>
    <w:rsid w:val="4E8072D1"/>
    <w:rsid w:val="4F0C7024"/>
    <w:rsid w:val="4F1D6A04"/>
    <w:rsid w:val="4F5B691B"/>
    <w:rsid w:val="4F8907D4"/>
    <w:rsid w:val="4FAC65EB"/>
    <w:rsid w:val="513D0ECC"/>
    <w:rsid w:val="519A433C"/>
    <w:rsid w:val="524644C3"/>
    <w:rsid w:val="527618D9"/>
    <w:rsid w:val="53137FF5"/>
    <w:rsid w:val="54FC346B"/>
    <w:rsid w:val="55646C38"/>
    <w:rsid w:val="56A70289"/>
    <w:rsid w:val="59227DD1"/>
    <w:rsid w:val="59875309"/>
    <w:rsid w:val="5A397334"/>
    <w:rsid w:val="5A7F4A16"/>
    <w:rsid w:val="5AE24FFD"/>
    <w:rsid w:val="5AF448B2"/>
    <w:rsid w:val="5C3F26AF"/>
    <w:rsid w:val="5C6B5DBC"/>
    <w:rsid w:val="5CA03929"/>
    <w:rsid w:val="5CDD4BD0"/>
    <w:rsid w:val="5DDF3420"/>
    <w:rsid w:val="5EDC3531"/>
    <w:rsid w:val="5F427DC1"/>
    <w:rsid w:val="6051475F"/>
    <w:rsid w:val="618D6AA1"/>
    <w:rsid w:val="61ED5E68"/>
    <w:rsid w:val="63576B1B"/>
    <w:rsid w:val="64BA4272"/>
    <w:rsid w:val="65857DEE"/>
    <w:rsid w:val="666A42A0"/>
    <w:rsid w:val="67222BCE"/>
    <w:rsid w:val="68684D0B"/>
    <w:rsid w:val="6947515D"/>
    <w:rsid w:val="6A324592"/>
    <w:rsid w:val="6AF43608"/>
    <w:rsid w:val="6B8F1EB0"/>
    <w:rsid w:val="6BBB3D3E"/>
    <w:rsid w:val="6D8E6FF3"/>
    <w:rsid w:val="6E602011"/>
    <w:rsid w:val="6EC827FD"/>
    <w:rsid w:val="6EF67170"/>
    <w:rsid w:val="6F3E1390"/>
    <w:rsid w:val="6F434575"/>
    <w:rsid w:val="6F605BCF"/>
    <w:rsid w:val="706004F9"/>
    <w:rsid w:val="71D76A8E"/>
    <w:rsid w:val="72E64027"/>
    <w:rsid w:val="73821076"/>
    <w:rsid w:val="73E21EC4"/>
    <w:rsid w:val="746412DE"/>
    <w:rsid w:val="75B73DA6"/>
    <w:rsid w:val="75C21A42"/>
    <w:rsid w:val="76200F28"/>
    <w:rsid w:val="76746FA2"/>
    <w:rsid w:val="770B4AB2"/>
    <w:rsid w:val="7769272F"/>
    <w:rsid w:val="77E221BF"/>
    <w:rsid w:val="795E155F"/>
    <w:rsid w:val="797E478F"/>
    <w:rsid w:val="79CC0AAA"/>
    <w:rsid w:val="7A0862CA"/>
    <w:rsid w:val="7A6D5267"/>
    <w:rsid w:val="7B7515D9"/>
    <w:rsid w:val="7C4064F0"/>
    <w:rsid w:val="7E773F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2"/>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autoRedefine/>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7"/>
    <w:autoRedefine/>
    <w:semiHidden/>
    <w:unhideWhenUsed/>
    <w:qFormat/>
    <w:uiPriority w:val="99"/>
    <w:pPr>
      <w:jc w:val="left"/>
    </w:pPr>
  </w:style>
  <w:style w:type="paragraph" w:styleId="14">
    <w:name w:val="Body Text"/>
    <w:basedOn w:val="1"/>
    <w:link w:val="91"/>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Plain Text"/>
    <w:basedOn w:val="1"/>
    <w:autoRedefine/>
    <w:qFormat/>
    <w:uiPriority w:val="6"/>
    <w:rPr>
      <w:rFonts w:ascii="宋体" w:hAnsi="宋体" w:cs="Courier New"/>
      <w:kern w:val="1"/>
      <w:szCs w:val="21"/>
    </w:rPr>
  </w:style>
  <w:style w:type="paragraph" w:styleId="18">
    <w:name w:val="Balloon Text"/>
    <w:basedOn w:val="1"/>
    <w:link w:val="50"/>
    <w:autoRedefine/>
    <w:semiHidden/>
    <w:unhideWhenUsed/>
    <w:qFormat/>
    <w:uiPriority w:val="99"/>
    <w:rPr>
      <w:sz w:val="18"/>
      <w:szCs w:val="18"/>
    </w:rPr>
  </w:style>
  <w:style w:type="paragraph" w:styleId="19">
    <w:name w:val="footer"/>
    <w:basedOn w:val="1"/>
    <w:link w:val="49"/>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autoRedefine/>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qFormat/>
    <w:uiPriority w:val="39"/>
    <w:rPr>
      <w:rFonts w:ascii="宋体"/>
    </w:rPr>
  </w:style>
  <w:style w:type="paragraph" w:styleId="22">
    <w:name w:val="toc 4"/>
    <w:basedOn w:val="1"/>
    <w:next w:val="1"/>
    <w:autoRedefine/>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8">
    <w:name w:val="Title"/>
    <w:basedOn w:val="1"/>
    <w:link w:val="53"/>
    <w:autoRedefine/>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38"/>
    <w:autoRedefine/>
    <w:semiHidden/>
    <w:unhideWhenUsed/>
    <w:qFormat/>
    <w:uiPriority w:val="99"/>
    <w:rPr>
      <w:b/>
      <w:bCs/>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22"/>
    <w:rPr>
      <w:b/>
      <w:bCs/>
    </w:rPr>
  </w:style>
  <w:style w:type="character" w:styleId="34">
    <w:name w:val="page number"/>
    <w:basedOn w:val="32"/>
    <w:autoRedefine/>
    <w:qFormat/>
    <w:uiPriority w:val="0"/>
    <w:rPr>
      <w:rFonts w:ascii="宋体" w:hAnsi="Times New Roman" w:eastAsia="宋体"/>
      <w:sz w:val="18"/>
    </w:rPr>
  </w:style>
  <w:style w:type="character" w:styleId="35">
    <w:name w:val="Emphasis"/>
    <w:autoRedefine/>
    <w:qFormat/>
    <w:uiPriority w:val="20"/>
    <w:rPr>
      <w:i/>
      <w:iCs/>
    </w:rPr>
  </w:style>
  <w:style w:type="character" w:styleId="36">
    <w:name w:val="Hyperlink"/>
    <w:autoRedefine/>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autoRedefine/>
    <w:semiHidden/>
    <w:unhideWhenUsed/>
    <w:qFormat/>
    <w:uiPriority w:val="99"/>
    <w:rPr>
      <w:sz w:val="21"/>
      <w:szCs w:val="21"/>
    </w:rPr>
  </w:style>
  <w:style w:type="character" w:styleId="38">
    <w:name w:val="footnote reference"/>
    <w:autoRedefine/>
    <w:semiHidden/>
    <w:qFormat/>
    <w:uiPriority w:val="0"/>
    <w:rPr>
      <w:rFonts w:ascii="宋体" w:hAnsi="宋体" w:eastAsia="宋体" w:cs="Times New Roman"/>
      <w:spacing w:val="0"/>
      <w:sz w:val="18"/>
      <w:vertAlign w:val="superscript"/>
    </w:rPr>
  </w:style>
  <w:style w:type="character" w:customStyle="1" w:styleId="39">
    <w:name w:val="标题 1 Char"/>
    <w:link w:val="2"/>
    <w:autoRedefine/>
    <w:qFormat/>
    <w:uiPriority w:val="0"/>
    <w:rPr>
      <w:rFonts w:ascii="Times New Roman" w:hAnsi="Times New Roman" w:eastAsia="宋体" w:cs="Times New Roman"/>
      <w:b/>
      <w:bCs/>
      <w:kern w:val="44"/>
      <w:sz w:val="44"/>
      <w:szCs w:val="44"/>
    </w:rPr>
  </w:style>
  <w:style w:type="character" w:customStyle="1" w:styleId="40">
    <w:name w:val="标题 2 Char"/>
    <w:link w:val="3"/>
    <w:autoRedefine/>
    <w:qFormat/>
    <w:uiPriority w:val="0"/>
    <w:rPr>
      <w:rFonts w:ascii="Arial" w:hAnsi="Arial" w:eastAsia="黑体" w:cs="Times New Roman"/>
      <w:b/>
      <w:bCs/>
      <w:sz w:val="32"/>
      <w:szCs w:val="32"/>
    </w:rPr>
  </w:style>
  <w:style w:type="character" w:customStyle="1" w:styleId="41">
    <w:name w:val="标题 3 Char"/>
    <w:link w:val="4"/>
    <w:autoRedefine/>
    <w:qFormat/>
    <w:uiPriority w:val="0"/>
    <w:rPr>
      <w:rFonts w:ascii="Times New Roman" w:hAnsi="Times New Roman" w:eastAsia="宋体" w:cs="Times New Roman"/>
      <w:b/>
      <w:bCs/>
      <w:sz w:val="32"/>
      <w:szCs w:val="32"/>
    </w:rPr>
  </w:style>
  <w:style w:type="character" w:customStyle="1" w:styleId="42">
    <w:name w:val="标题 4 Char"/>
    <w:link w:val="5"/>
    <w:autoRedefine/>
    <w:qFormat/>
    <w:uiPriority w:val="0"/>
    <w:rPr>
      <w:rFonts w:ascii="Arial" w:hAnsi="Arial" w:eastAsia="黑体" w:cs="Times New Roman"/>
      <w:b/>
      <w:bCs/>
      <w:sz w:val="28"/>
      <w:szCs w:val="28"/>
    </w:rPr>
  </w:style>
  <w:style w:type="character" w:customStyle="1" w:styleId="43">
    <w:name w:val="标题 5 Char"/>
    <w:link w:val="6"/>
    <w:autoRedefine/>
    <w:qFormat/>
    <w:uiPriority w:val="0"/>
    <w:rPr>
      <w:rFonts w:ascii="Times New Roman" w:hAnsi="Times New Roman" w:eastAsia="宋体" w:cs="Times New Roman"/>
      <w:b/>
      <w:bCs/>
      <w:sz w:val="28"/>
      <w:szCs w:val="28"/>
    </w:rPr>
  </w:style>
  <w:style w:type="character" w:customStyle="1" w:styleId="44">
    <w:name w:val="标题 6 Char"/>
    <w:link w:val="7"/>
    <w:autoRedefine/>
    <w:qFormat/>
    <w:uiPriority w:val="0"/>
    <w:rPr>
      <w:rFonts w:ascii="Arial" w:hAnsi="Arial" w:eastAsia="黑体" w:cs="Times New Roman"/>
      <w:b/>
      <w:bCs/>
      <w:sz w:val="24"/>
      <w:szCs w:val="24"/>
    </w:rPr>
  </w:style>
  <w:style w:type="character" w:customStyle="1" w:styleId="45">
    <w:name w:val="标题 7 Char"/>
    <w:link w:val="8"/>
    <w:autoRedefine/>
    <w:qFormat/>
    <w:uiPriority w:val="0"/>
    <w:rPr>
      <w:rFonts w:ascii="Times New Roman" w:hAnsi="Times New Roman" w:eastAsia="宋体" w:cs="Times New Roman"/>
      <w:b/>
      <w:bCs/>
      <w:sz w:val="24"/>
      <w:szCs w:val="24"/>
    </w:rPr>
  </w:style>
  <w:style w:type="character" w:customStyle="1" w:styleId="46">
    <w:name w:val="标题 8 Char"/>
    <w:link w:val="9"/>
    <w:autoRedefine/>
    <w:qFormat/>
    <w:uiPriority w:val="0"/>
    <w:rPr>
      <w:rFonts w:ascii="Arial" w:hAnsi="Arial" w:eastAsia="黑体" w:cs="Times New Roman"/>
      <w:sz w:val="24"/>
      <w:szCs w:val="24"/>
    </w:rPr>
  </w:style>
  <w:style w:type="character" w:customStyle="1" w:styleId="47">
    <w:name w:val="标题 9 Char"/>
    <w:link w:val="10"/>
    <w:autoRedefine/>
    <w:qFormat/>
    <w:uiPriority w:val="0"/>
    <w:rPr>
      <w:rFonts w:ascii="Arial" w:hAnsi="Arial" w:eastAsia="黑体" w:cs="Times New Roman"/>
      <w:szCs w:val="21"/>
    </w:rPr>
  </w:style>
  <w:style w:type="character" w:customStyle="1" w:styleId="48">
    <w:name w:val="页眉 Char"/>
    <w:link w:val="20"/>
    <w:autoRedefine/>
    <w:qFormat/>
    <w:uiPriority w:val="99"/>
    <w:rPr>
      <w:rFonts w:ascii="Times New Roman" w:hAnsi="Times New Roman" w:eastAsia="宋体" w:cs="Times New Roman"/>
      <w:sz w:val="18"/>
      <w:szCs w:val="18"/>
    </w:rPr>
  </w:style>
  <w:style w:type="character" w:customStyle="1" w:styleId="49">
    <w:name w:val="页脚 Char"/>
    <w:link w:val="19"/>
    <w:autoRedefine/>
    <w:qFormat/>
    <w:uiPriority w:val="99"/>
    <w:rPr>
      <w:rFonts w:ascii="宋体" w:hAnsi="Times New Roman" w:eastAsia="宋体" w:cs="Times New Roman"/>
      <w:sz w:val="18"/>
      <w:szCs w:val="18"/>
    </w:rPr>
  </w:style>
  <w:style w:type="character" w:customStyle="1" w:styleId="50">
    <w:name w:val="批注框文本 Char"/>
    <w:link w:val="18"/>
    <w:autoRedefine/>
    <w:semiHidden/>
    <w:qFormat/>
    <w:uiPriority w:val="99"/>
    <w:rPr>
      <w:sz w:val="18"/>
      <w:szCs w:val="18"/>
    </w:rPr>
  </w:style>
  <w:style w:type="paragraph" w:styleId="51">
    <w:name w:val="Quote"/>
    <w:basedOn w:val="1"/>
    <w:next w:val="1"/>
    <w:link w:val="52"/>
    <w:autoRedefine/>
    <w:qFormat/>
    <w:uiPriority w:val="29"/>
    <w:rPr>
      <w:i/>
      <w:iCs/>
      <w:color w:val="000000"/>
    </w:rPr>
  </w:style>
  <w:style w:type="character" w:customStyle="1" w:styleId="52">
    <w:name w:val="引用 Char"/>
    <w:link w:val="51"/>
    <w:autoRedefine/>
    <w:qFormat/>
    <w:uiPriority w:val="29"/>
    <w:rPr>
      <w:i/>
      <w:iCs/>
      <w:color w:val="000000"/>
    </w:rPr>
  </w:style>
  <w:style w:type="character" w:customStyle="1" w:styleId="53">
    <w:name w:val="标题 Char"/>
    <w:link w:val="28"/>
    <w:autoRedefine/>
    <w:qFormat/>
    <w:uiPriority w:val="0"/>
    <w:rPr>
      <w:rFonts w:ascii="Arial" w:hAnsi="Arial" w:eastAsia="宋体" w:cs="Arial"/>
      <w:b/>
      <w:bCs/>
      <w:sz w:val="32"/>
      <w:szCs w:val="32"/>
    </w:rPr>
  </w:style>
  <w:style w:type="paragraph" w:customStyle="1" w:styleId="54">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autoRedefine/>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autoRedefine/>
    <w:qFormat/>
    <w:uiPriority w:val="0"/>
    <w:pPr>
      <w:spacing w:line="0" w:lineRule="atLeast"/>
    </w:pPr>
    <w:rPr>
      <w:rFonts w:ascii="黑体" w:hAnsi="宋体" w:eastAsia="黑体"/>
    </w:rPr>
  </w:style>
  <w:style w:type="paragraph" w:customStyle="1" w:styleId="60">
    <w:name w:val="标准文件_标准正文"/>
    <w:basedOn w:val="1"/>
    <w:next w:val="61"/>
    <w:autoRedefine/>
    <w:qFormat/>
    <w:uiPriority w:val="0"/>
    <w:pPr>
      <w:snapToGrid w:val="0"/>
      <w:ind w:firstLine="200" w:firstLineChars="200"/>
    </w:pPr>
    <w:rPr>
      <w:kern w:val="0"/>
    </w:rPr>
  </w:style>
  <w:style w:type="paragraph" w:customStyle="1" w:styleId="61">
    <w:name w:val="标准文件_段"/>
    <w:link w:val="189"/>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autoRedefine/>
    <w:qFormat/>
    <w:uiPriority w:val="0"/>
    <w:pPr>
      <w:adjustRightInd/>
      <w:snapToGrid/>
      <w:ind w:firstLine="0" w:firstLineChars="0"/>
    </w:pPr>
    <w:rPr>
      <w:rFonts w:ascii="宋体" w:hAnsi="宋体"/>
      <w:kern w:val="2"/>
    </w:rPr>
  </w:style>
  <w:style w:type="paragraph" w:customStyle="1" w:styleId="63">
    <w:name w:val="标准文件_标准部门"/>
    <w:basedOn w:val="1"/>
    <w:autoRedefine/>
    <w:qFormat/>
    <w:uiPriority w:val="0"/>
    <w:pPr>
      <w:jc w:val="center"/>
    </w:pPr>
    <w:rPr>
      <w:rFonts w:ascii="黑体" w:eastAsia="黑体"/>
      <w:kern w:val="0"/>
      <w:sz w:val="44"/>
    </w:rPr>
  </w:style>
  <w:style w:type="paragraph" w:customStyle="1" w:styleId="64">
    <w:name w:val="标准文件_标准代替"/>
    <w:basedOn w:val="1"/>
    <w:next w:val="1"/>
    <w:autoRedefine/>
    <w:qFormat/>
    <w:uiPriority w:val="0"/>
    <w:pPr>
      <w:spacing w:line="310" w:lineRule="exact"/>
      <w:jc w:val="right"/>
    </w:pPr>
    <w:rPr>
      <w:rFonts w:ascii="宋体" w:hAnsi="宋体"/>
      <w:kern w:val="0"/>
    </w:rPr>
  </w:style>
  <w:style w:type="paragraph" w:customStyle="1" w:styleId="65">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autoRedefine/>
    <w:qFormat/>
    <w:uiPriority w:val="0"/>
    <w:pPr>
      <w:jc w:val="left"/>
    </w:pPr>
  </w:style>
  <w:style w:type="paragraph" w:customStyle="1" w:styleId="68">
    <w:name w:val="标准文件_参考文献标题"/>
    <w:basedOn w:val="1"/>
    <w:next w:val="1"/>
    <w:autoRedefine/>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autoRedefine/>
    <w:qFormat/>
    <w:uiPriority w:val="0"/>
    <w:rPr>
      <w:rFonts w:ascii="黑体" w:eastAsia="黑体"/>
      <w:spacing w:val="0"/>
      <w:w w:val="100"/>
      <w:position w:val="3"/>
      <w:sz w:val="28"/>
    </w:rPr>
  </w:style>
  <w:style w:type="paragraph" w:customStyle="1" w:styleId="72">
    <w:name w:val="标准文件_方框数字列项"/>
    <w:basedOn w:val="61"/>
    <w:autoRedefine/>
    <w:qFormat/>
    <w:uiPriority w:val="0"/>
    <w:pPr>
      <w:numPr>
        <w:ilvl w:val="0"/>
        <w:numId w:val="3"/>
      </w:numPr>
      <w:ind w:firstLine="0" w:firstLineChars="0"/>
    </w:pPr>
  </w:style>
  <w:style w:type="paragraph" w:customStyle="1" w:styleId="73">
    <w:name w:val="标准文件_封面标准编号"/>
    <w:basedOn w:val="1"/>
    <w:next w:val="64"/>
    <w:autoRedefine/>
    <w:qFormat/>
    <w:uiPriority w:val="0"/>
    <w:pPr>
      <w:spacing w:line="310" w:lineRule="exact"/>
      <w:jc w:val="right"/>
    </w:pPr>
    <w:rPr>
      <w:rFonts w:ascii="黑体" w:eastAsia="黑体"/>
      <w:kern w:val="0"/>
      <w:sz w:val="28"/>
    </w:rPr>
  </w:style>
  <w:style w:type="paragraph" w:customStyle="1" w:styleId="74">
    <w:name w:val="标准文件_封面标准分类号"/>
    <w:basedOn w:val="1"/>
    <w:autoRedefine/>
    <w:qFormat/>
    <w:uiPriority w:val="0"/>
    <w:rPr>
      <w:rFonts w:ascii="黑体" w:eastAsia="黑体"/>
      <w:b/>
      <w:kern w:val="0"/>
      <w:sz w:val="28"/>
    </w:rPr>
  </w:style>
  <w:style w:type="paragraph" w:customStyle="1" w:styleId="75">
    <w:name w:val="标准文件_封面标准名称"/>
    <w:basedOn w:val="1"/>
    <w:autoRedefine/>
    <w:qFormat/>
    <w:uiPriority w:val="0"/>
    <w:pPr>
      <w:spacing w:line="240" w:lineRule="auto"/>
      <w:jc w:val="center"/>
    </w:pPr>
    <w:rPr>
      <w:rFonts w:ascii="黑体" w:eastAsia="黑体"/>
      <w:kern w:val="0"/>
      <w:sz w:val="52"/>
    </w:rPr>
  </w:style>
  <w:style w:type="paragraph" w:customStyle="1" w:styleId="76">
    <w:name w:val="标准文件_封面标准英文名称"/>
    <w:basedOn w:val="1"/>
    <w:autoRedefine/>
    <w:qFormat/>
    <w:uiPriority w:val="0"/>
    <w:pPr>
      <w:spacing w:line="240" w:lineRule="auto"/>
      <w:jc w:val="center"/>
    </w:pPr>
    <w:rPr>
      <w:rFonts w:ascii="黑体" w:eastAsia="黑体"/>
      <w:b/>
      <w:sz w:val="28"/>
    </w:rPr>
  </w:style>
  <w:style w:type="paragraph" w:customStyle="1" w:styleId="77">
    <w:name w:val="标准文件_封面发布日期"/>
    <w:basedOn w:val="1"/>
    <w:autoRedefine/>
    <w:qFormat/>
    <w:uiPriority w:val="0"/>
    <w:pPr>
      <w:spacing w:line="310" w:lineRule="exact"/>
    </w:pPr>
    <w:rPr>
      <w:rFonts w:ascii="黑体" w:eastAsia="黑体"/>
      <w:kern w:val="0"/>
      <w:sz w:val="28"/>
    </w:rPr>
  </w:style>
  <w:style w:type="paragraph" w:customStyle="1" w:styleId="78">
    <w:name w:val="标准文件_封面密级"/>
    <w:basedOn w:val="1"/>
    <w:autoRedefine/>
    <w:qFormat/>
    <w:uiPriority w:val="0"/>
    <w:rPr>
      <w:rFonts w:eastAsia="黑体"/>
      <w:sz w:val="32"/>
    </w:rPr>
  </w:style>
  <w:style w:type="paragraph" w:customStyle="1" w:styleId="79">
    <w:name w:val="标准文件_封面实施日期"/>
    <w:basedOn w:val="1"/>
    <w:autoRedefine/>
    <w:qFormat/>
    <w:uiPriority w:val="0"/>
    <w:pPr>
      <w:spacing w:line="310" w:lineRule="exact"/>
      <w:jc w:val="right"/>
    </w:pPr>
    <w:rPr>
      <w:rFonts w:ascii="黑体" w:eastAsia="黑体"/>
      <w:sz w:val="28"/>
    </w:rPr>
  </w:style>
  <w:style w:type="paragraph" w:customStyle="1" w:styleId="80">
    <w:name w:val="标准文件_封面抬头"/>
    <w:basedOn w:val="61"/>
    <w:autoRedefine/>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link w:val="259"/>
    <w:autoRedefine/>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autoRedefine/>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autoRedefine/>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4"/>
    <w:autoRedefine/>
    <w:qFormat/>
    <w:uiPriority w:val="0"/>
    <w:rPr>
      <w:rFonts w:ascii="Times New Roman" w:hAnsi="Times New Roman" w:eastAsia="宋体" w:cs="Times New Roman"/>
      <w:szCs w:val="20"/>
    </w:rPr>
  </w:style>
  <w:style w:type="paragraph" w:customStyle="1" w:styleId="92">
    <w:name w:val="标准文件_附录章标题"/>
    <w:next w:val="61"/>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autoRedefine/>
    <w:qFormat/>
    <w:uiPriority w:val="0"/>
    <w:pPr>
      <w:ind w:left="488" w:leftChars="200" w:hanging="289" w:hangingChars="290"/>
    </w:pPr>
  </w:style>
  <w:style w:type="paragraph" w:customStyle="1" w:styleId="94">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autoRedefine/>
    <w:qFormat/>
    <w:uiPriority w:val="0"/>
    <w:pPr>
      <w:spacing w:line="460" w:lineRule="exact"/>
    </w:pPr>
  </w:style>
  <w:style w:type="paragraph" w:customStyle="1" w:styleId="96">
    <w:name w:val="标准文件_目录标题"/>
    <w:basedOn w:val="1"/>
    <w:autoRedefine/>
    <w:qFormat/>
    <w:uiPriority w:val="0"/>
    <w:pPr>
      <w:spacing w:afterLines="150" w:line="240" w:lineRule="auto"/>
      <w:jc w:val="center"/>
    </w:pPr>
    <w:rPr>
      <w:rFonts w:ascii="黑体" w:eastAsia="黑体"/>
      <w:sz w:val="32"/>
    </w:rPr>
  </w:style>
  <w:style w:type="paragraph" w:customStyle="1" w:styleId="97">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autoRedefine/>
    <w:qFormat/>
    <w:uiPriority w:val="0"/>
    <w:pPr>
      <w:numPr>
        <w:numId w:val="10"/>
      </w:numPr>
      <w:ind w:left="0" w:firstLine="200"/>
    </w:pPr>
  </w:style>
  <w:style w:type="paragraph" w:customStyle="1" w:styleId="99">
    <w:name w:val="标准文件_三级条标题"/>
    <w:basedOn w:val="70"/>
    <w:next w:val="61"/>
    <w:autoRedefine/>
    <w:qFormat/>
    <w:uiPriority w:val="0"/>
    <w:pPr>
      <w:widowControl/>
      <w:numPr>
        <w:ilvl w:val="4"/>
      </w:numPr>
      <w:outlineLvl w:val="3"/>
    </w:pPr>
  </w:style>
  <w:style w:type="character" w:customStyle="1" w:styleId="100">
    <w:name w:val="不明显参考1"/>
    <w:autoRedefine/>
    <w:qFormat/>
    <w:uiPriority w:val="31"/>
    <w:rPr>
      <w:smallCaps/>
      <w:color w:val="C0504D"/>
      <w:u w:val="single"/>
    </w:rPr>
  </w:style>
  <w:style w:type="paragraph" w:customStyle="1" w:styleId="101">
    <w:name w:val="标准文件_示例后续"/>
    <w:basedOn w:val="1"/>
    <w:autoRedefine/>
    <w:qFormat/>
    <w:uiPriority w:val="0"/>
    <w:pPr>
      <w:adjustRightInd/>
      <w:spacing w:line="240" w:lineRule="auto"/>
      <w:ind w:firstLine="200" w:firstLineChars="200"/>
    </w:pPr>
    <w:rPr>
      <w:sz w:val="18"/>
      <w:szCs w:val="24"/>
    </w:rPr>
  </w:style>
  <w:style w:type="paragraph" w:customStyle="1" w:styleId="102">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3"/>
    <w:autoRedefine/>
    <w:semiHidden/>
    <w:qFormat/>
    <w:uiPriority w:val="0"/>
    <w:rPr>
      <w:rFonts w:ascii="宋体" w:hAnsi="Times New Roman" w:eastAsia="宋体" w:cs="Times New Roman"/>
      <w:sz w:val="18"/>
      <w:szCs w:val="18"/>
    </w:rPr>
  </w:style>
  <w:style w:type="paragraph" w:customStyle="1" w:styleId="105">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autoRedefine/>
    <w:qFormat/>
    <w:uiPriority w:val="0"/>
    <w:pPr>
      <w:numPr>
        <w:ilvl w:val="0"/>
        <w:numId w:val="12"/>
      </w:numPr>
      <w:spacing w:line="240" w:lineRule="auto"/>
      <w:jc w:val="left"/>
    </w:pPr>
    <w:rPr>
      <w:rFonts w:ascii="宋体" w:hAnsi="宋体"/>
      <w:sz w:val="18"/>
    </w:rPr>
  </w:style>
  <w:style w:type="character" w:customStyle="1" w:styleId="107">
    <w:name w:val="标准文件_图表脚注内容"/>
    <w:autoRedefine/>
    <w:qFormat/>
    <w:uiPriority w:val="0"/>
    <w:rPr>
      <w:rFonts w:ascii="宋体" w:hAnsi="宋体" w:eastAsia="宋体" w:cs="Times New Roman"/>
      <w:spacing w:val="0"/>
      <w:sz w:val="18"/>
      <w:vertAlign w:val="superscript"/>
    </w:rPr>
  </w:style>
  <w:style w:type="paragraph" w:customStyle="1" w:styleId="108">
    <w:name w:val="标准文件_五级条标题"/>
    <w:next w:val="61"/>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autoRedefine/>
    <w:qFormat/>
    <w:uiPriority w:val="0"/>
    <w:pPr>
      <w:numPr>
        <w:ilvl w:val="2"/>
      </w:numPr>
      <w:spacing w:beforeLines="50" w:afterLines="50"/>
      <w:outlineLvl w:val="1"/>
    </w:p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6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basedOn w:val="127"/>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autoRedefine/>
    <w:qFormat/>
    <w:uiPriority w:val="0"/>
    <w:pPr>
      <w:outlineLvl w:val="4"/>
    </w:pPr>
  </w:style>
  <w:style w:type="paragraph" w:customStyle="1" w:styleId="135">
    <w:name w:val="附录四级无标题条"/>
    <w:basedOn w:val="134"/>
    <w:next w:val="61"/>
    <w:autoRedefine/>
    <w:qFormat/>
    <w:uiPriority w:val="0"/>
    <w:pPr>
      <w:outlineLvl w:val="5"/>
    </w:pPr>
  </w:style>
  <w:style w:type="paragraph" w:customStyle="1" w:styleId="136">
    <w:name w:val="附录图"/>
    <w:next w:val="61"/>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2"/>
    <w:next w:val="61"/>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9">
    <w:name w:val="实施日期"/>
    <w:basedOn w:val="125"/>
    <w:autoRedefine/>
    <w:qFormat/>
    <w:uiPriority w:val="0"/>
    <w:pPr>
      <w:framePr w:hSpace="0" w:wrap="around" w:xAlign="right"/>
      <w:jc w:val="right"/>
    </w:pPr>
  </w:style>
  <w:style w:type="paragraph" w:customStyle="1" w:styleId="160">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autoRedefine/>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autoRedefine/>
    <w:qFormat/>
    <w:uiPriority w:val="0"/>
    <w:pPr>
      <w:numPr>
        <w:ilvl w:val="6"/>
        <w:numId w:val="20"/>
      </w:numPr>
      <w:adjustRightInd/>
    </w:pPr>
    <w:rPr>
      <w:szCs w:val="24"/>
    </w:rPr>
  </w:style>
  <w:style w:type="paragraph" w:customStyle="1" w:styleId="164">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5">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autoRedefine/>
    <w:qFormat/>
    <w:uiPriority w:val="0"/>
    <w:pPr>
      <w:ind w:left="1406" w:leftChars="0" w:hanging="499" w:firstLineChars="0"/>
    </w:pPr>
  </w:style>
  <w:style w:type="paragraph" w:customStyle="1" w:styleId="167">
    <w:name w:val="标准文件_一级无标题"/>
    <w:basedOn w:val="110"/>
    <w:autoRedefine/>
    <w:qFormat/>
    <w:uiPriority w:val="0"/>
    <w:pPr>
      <w:spacing w:beforeLines="0" w:afterLines="0"/>
      <w:outlineLvl w:val="9"/>
    </w:pPr>
    <w:rPr>
      <w:rFonts w:ascii="宋体" w:eastAsia="宋体"/>
    </w:rPr>
  </w:style>
  <w:style w:type="paragraph" w:customStyle="1" w:styleId="168">
    <w:name w:val="标准文件_五级无标题"/>
    <w:basedOn w:val="108"/>
    <w:autoRedefine/>
    <w:qFormat/>
    <w:uiPriority w:val="0"/>
    <w:pPr>
      <w:spacing w:beforeLines="0" w:afterLines="0"/>
      <w:outlineLvl w:val="9"/>
    </w:pPr>
    <w:rPr>
      <w:rFonts w:ascii="宋体" w:eastAsia="宋体"/>
    </w:rPr>
  </w:style>
  <w:style w:type="paragraph" w:customStyle="1" w:styleId="169">
    <w:name w:val="标准文件_三级无标题"/>
    <w:basedOn w:val="99"/>
    <w:autoRedefine/>
    <w:qFormat/>
    <w:uiPriority w:val="0"/>
    <w:pPr>
      <w:spacing w:beforeLines="0" w:afterLines="0"/>
      <w:outlineLvl w:val="9"/>
    </w:pPr>
    <w:rPr>
      <w:rFonts w:ascii="宋体" w:eastAsia="宋体"/>
    </w:rPr>
  </w:style>
  <w:style w:type="paragraph" w:customStyle="1" w:styleId="170">
    <w:name w:val="标准文件_二级无标题"/>
    <w:basedOn w:val="70"/>
    <w:autoRedefine/>
    <w:qFormat/>
    <w:uiPriority w:val="0"/>
    <w:pPr>
      <w:spacing w:beforeLines="0" w:afterLines="0"/>
      <w:outlineLvl w:val="9"/>
    </w:pPr>
    <w:rPr>
      <w:rFonts w:ascii="宋体" w:eastAsia="宋体"/>
    </w:rPr>
  </w:style>
  <w:style w:type="paragraph" w:customStyle="1" w:styleId="171">
    <w:name w:val="标准_四级无标题"/>
    <w:basedOn w:val="103"/>
    <w:next w:val="61"/>
    <w:autoRedefine/>
    <w:qFormat/>
    <w:uiPriority w:val="0"/>
    <w:rPr>
      <w:rFonts w:eastAsia="宋体"/>
    </w:rPr>
  </w:style>
  <w:style w:type="paragraph" w:customStyle="1" w:styleId="172">
    <w:name w:val="标准文件_四级无标题"/>
    <w:basedOn w:val="103"/>
    <w:autoRedefine/>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autoRedefine/>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autoRedefine/>
    <w:qFormat/>
    <w:uiPriority w:val="0"/>
    <w:pPr>
      <w:numPr>
        <w:ilvl w:val="0"/>
        <w:numId w:val="24"/>
      </w:numPr>
      <w:ind w:firstLine="0" w:firstLineChars="0"/>
    </w:pPr>
    <w:rPr>
      <w:rFonts w:cs="Arial"/>
      <w:szCs w:val="28"/>
    </w:rPr>
  </w:style>
  <w:style w:type="paragraph" w:customStyle="1" w:styleId="175">
    <w:name w:val="标准文件_附录标题"/>
    <w:basedOn w:val="81"/>
    <w:autoRedefine/>
    <w:qFormat/>
    <w:uiPriority w:val="0"/>
    <w:pPr>
      <w:numPr>
        <w:numId w:val="0"/>
      </w:numPr>
      <w:spacing w:after="280"/>
      <w:outlineLvl w:val="9"/>
    </w:pPr>
  </w:style>
  <w:style w:type="paragraph" w:customStyle="1" w:styleId="176">
    <w:name w:val="标准文件_二级项"/>
    <w:autoRedefine/>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autoRedefine/>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autoRedefine/>
    <w:qFormat/>
    <w:uiPriority w:val="0"/>
    <w:pPr>
      <w:ind w:firstLine="0" w:firstLineChars="0"/>
      <w:jc w:val="center"/>
    </w:pPr>
    <w:rPr>
      <w:sz w:val="18"/>
    </w:rPr>
  </w:style>
  <w:style w:type="paragraph" w:customStyle="1" w:styleId="184">
    <w:name w:val="标准文件_注："/>
    <w:next w:val="61"/>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autoRedefine/>
    <w:qFormat/>
    <w:uiPriority w:val="0"/>
    <w:pPr>
      <w:ind w:firstLine="420"/>
    </w:pPr>
    <w:rPr>
      <w:sz w:val="18"/>
    </w:rPr>
  </w:style>
  <w:style w:type="paragraph" w:customStyle="1" w:styleId="188">
    <w:name w:val="标准文件_示例×："/>
    <w:basedOn w:val="1"/>
    <w:next w:val="187"/>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autoRedefine/>
    <w:qFormat/>
    <w:uiPriority w:val="0"/>
    <w:rPr>
      <w:rFonts w:ascii="宋体" w:hAnsi="Times New Roman"/>
      <w:sz w:val="21"/>
    </w:rPr>
  </w:style>
  <w:style w:type="paragraph" w:customStyle="1" w:styleId="190">
    <w:name w:val="标准文件_表格续"/>
    <w:basedOn w:val="61"/>
    <w:next w:val="61"/>
    <w:autoRedefine/>
    <w:qFormat/>
    <w:uiPriority w:val="0"/>
    <w:pPr>
      <w:jc w:val="center"/>
    </w:pPr>
    <w:rPr>
      <w:rFonts w:ascii="黑体" w:hAnsi="黑体" w:eastAsia="黑体"/>
    </w:rPr>
  </w:style>
  <w:style w:type="character" w:styleId="191">
    <w:name w:val="Placeholder Text"/>
    <w:basedOn w:val="32"/>
    <w:autoRedefine/>
    <w:semiHidden/>
    <w:qFormat/>
    <w:uiPriority w:val="99"/>
    <w:rPr>
      <w:color w:val="808080"/>
    </w:rPr>
  </w:style>
  <w:style w:type="paragraph" w:customStyle="1" w:styleId="192">
    <w:name w:val="标准文件_二级项2"/>
    <w:basedOn w:val="61"/>
    <w:autoRedefine/>
    <w:qFormat/>
    <w:uiPriority w:val="0"/>
    <w:pPr>
      <w:numPr>
        <w:ilvl w:val="1"/>
        <w:numId w:val="21"/>
      </w:numPr>
      <w:ind w:left="1271" w:hanging="420" w:firstLineChars="0"/>
    </w:pPr>
  </w:style>
  <w:style w:type="paragraph" w:customStyle="1" w:styleId="193">
    <w:name w:val="标准文件_三级项2"/>
    <w:basedOn w:val="61"/>
    <w:autoRedefine/>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autoRedefine/>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autoRedefine/>
    <w:qFormat/>
    <w:uiPriority w:val="0"/>
    <w:pPr>
      <w:ind w:firstLine="420"/>
    </w:pPr>
    <w:rPr>
      <w:rFonts w:ascii="黑体" w:eastAsia="黑体"/>
    </w:rPr>
  </w:style>
  <w:style w:type="character" w:customStyle="1" w:styleId="196">
    <w:name w:val="标准文件_来源"/>
    <w:basedOn w:val="32"/>
    <w:autoRedefine/>
    <w:qFormat/>
    <w:uiPriority w:val="1"/>
    <w:rPr>
      <w:rFonts w:eastAsia="宋体"/>
      <w:sz w:val="21"/>
    </w:rPr>
  </w:style>
  <w:style w:type="paragraph" w:customStyle="1" w:styleId="197">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autoRedefine/>
    <w:qFormat/>
    <w:uiPriority w:val="0"/>
    <w:pPr>
      <w:framePr w:w="3997" w:h="471" w:hRule="exact" w:hSpace="0" w:vSpace="181" w:wrap="around" w:vAnchor="page" w:hAnchor="page" w:x="1419" w:y="14097"/>
    </w:pPr>
  </w:style>
  <w:style w:type="paragraph" w:customStyle="1" w:styleId="199">
    <w:name w:val="其他实施日期"/>
    <w:basedOn w:val="159"/>
    <w:autoRedefine/>
    <w:qFormat/>
    <w:uiPriority w:val="0"/>
    <w:pPr>
      <w:framePr w:w="3997" w:h="471" w:hRule="exact" w:vSpace="181" w:wrap="around" w:vAnchor="page" w:hAnchor="page" w:x="7089" w:y="14097"/>
    </w:pPr>
  </w:style>
  <w:style w:type="paragraph" w:customStyle="1" w:styleId="200">
    <w:name w:val="标准文件_文件编号"/>
    <w:basedOn w:val="61"/>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autoRedefine/>
    <w:qFormat/>
    <w:uiPriority w:val="0"/>
    <w:pPr>
      <w:framePr w:wrap="around"/>
      <w:spacing w:before="57"/>
    </w:pPr>
    <w:rPr>
      <w:sz w:val="21"/>
    </w:rPr>
  </w:style>
  <w:style w:type="paragraph" w:customStyle="1" w:styleId="202">
    <w:name w:val="标准文件_文件名称"/>
    <w:basedOn w:val="61"/>
    <w:next w:val="61"/>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autoRedefine/>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autoRedefine/>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autoRedefine/>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autoRedefine/>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autoRedefine/>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autoRedefine/>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autoRedefine/>
    <w:qFormat/>
    <w:uiPriority w:val="0"/>
    <w:pPr>
      <w:ind w:left="811" w:firstLine="0" w:firstLineChars="0"/>
    </w:pPr>
    <w:rPr>
      <w:sz w:val="18"/>
    </w:rPr>
  </w:style>
  <w:style w:type="paragraph" w:customStyle="1" w:styleId="211">
    <w:name w:val="标准文件_注X后"/>
    <w:basedOn w:val="61"/>
    <w:autoRedefine/>
    <w:qFormat/>
    <w:uiPriority w:val="0"/>
    <w:pPr>
      <w:ind w:left="811" w:firstLine="0" w:firstLineChars="0"/>
    </w:pPr>
    <w:rPr>
      <w:sz w:val="18"/>
    </w:rPr>
  </w:style>
  <w:style w:type="paragraph" w:customStyle="1" w:styleId="212">
    <w:name w:val="标准文件_示例后"/>
    <w:basedOn w:val="61"/>
    <w:autoRedefine/>
    <w:qFormat/>
    <w:uiPriority w:val="0"/>
    <w:pPr>
      <w:ind w:left="964" w:firstLine="0" w:firstLineChars="0"/>
    </w:pPr>
    <w:rPr>
      <w:sz w:val="18"/>
    </w:rPr>
  </w:style>
  <w:style w:type="paragraph" w:customStyle="1" w:styleId="213">
    <w:name w:val="标准文件_示例X后"/>
    <w:basedOn w:val="61"/>
    <w:link w:val="214"/>
    <w:autoRedefine/>
    <w:qFormat/>
    <w:uiPriority w:val="0"/>
    <w:pPr>
      <w:ind w:left="1049" w:firstLine="0" w:firstLineChars="0"/>
    </w:pPr>
    <w:rPr>
      <w:sz w:val="18"/>
    </w:rPr>
  </w:style>
  <w:style w:type="character" w:customStyle="1" w:styleId="214">
    <w:name w:val="标准文件_示例X后 字符"/>
    <w:basedOn w:val="189"/>
    <w:link w:val="213"/>
    <w:autoRedefine/>
    <w:qFormat/>
    <w:uiPriority w:val="0"/>
    <w:rPr>
      <w:rFonts w:ascii="宋体" w:hAnsi="Times New Roman"/>
      <w:sz w:val="18"/>
    </w:rPr>
  </w:style>
  <w:style w:type="paragraph" w:customStyle="1" w:styleId="215">
    <w:name w:val="标准文件_索引项"/>
    <w:basedOn w:val="61"/>
    <w:next w:val="61"/>
    <w:autoRedefine/>
    <w:qFormat/>
    <w:uiPriority w:val="0"/>
    <w:pPr>
      <w:tabs>
        <w:tab w:val="right" w:leader="dot" w:pos="9356"/>
      </w:tabs>
      <w:ind w:left="210" w:hanging="210" w:firstLineChars="0"/>
      <w:jc w:val="left"/>
    </w:pPr>
  </w:style>
  <w:style w:type="paragraph" w:customStyle="1" w:styleId="216">
    <w:name w:val="标准文件_附录一级无标题"/>
    <w:basedOn w:val="83"/>
    <w:autoRedefine/>
    <w:qFormat/>
    <w:uiPriority w:val="0"/>
    <w:pPr>
      <w:spacing w:beforeLines="0" w:afterLines="0" w:line="276" w:lineRule="auto"/>
      <w:outlineLvl w:val="9"/>
    </w:pPr>
    <w:rPr>
      <w:rFonts w:ascii="宋体" w:eastAsia="宋体"/>
    </w:rPr>
  </w:style>
  <w:style w:type="paragraph" w:customStyle="1" w:styleId="217">
    <w:name w:val="标准文件_附录二级无标题"/>
    <w:basedOn w:val="84"/>
    <w:autoRedefine/>
    <w:qFormat/>
    <w:uiPriority w:val="0"/>
    <w:pPr>
      <w:spacing w:beforeLines="0" w:afterLines="0" w:line="276" w:lineRule="auto"/>
      <w:outlineLvl w:val="9"/>
    </w:pPr>
    <w:rPr>
      <w:rFonts w:ascii="宋体" w:eastAsia="宋体"/>
    </w:rPr>
  </w:style>
  <w:style w:type="paragraph" w:customStyle="1" w:styleId="218">
    <w:name w:val="标准文件_附录三级无标题"/>
    <w:basedOn w:val="86"/>
    <w:autoRedefine/>
    <w:qFormat/>
    <w:uiPriority w:val="0"/>
    <w:pPr>
      <w:spacing w:beforeLines="0" w:afterLines="0" w:line="276" w:lineRule="auto"/>
      <w:outlineLvl w:val="9"/>
    </w:pPr>
    <w:rPr>
      <w:rFonts w:ascii="宋体" w:eastAsia="宋体"/>
    </w:rPr>
  </w:style>
  <w:style w:type="paragraph" w:customStyle="1" w:styleId="219">
    <w:name w:val="标准文件_附录四级无标题"/>
    <w:basedOn w:val="87"/>
    <w:autoRedefine/>
    <w:qFormat/>
    <w:uiPriority w:val="0"/>
    <w:pPr>
      <w:spacing w:beforeLines="0" w:afterLines="0" w:line="276" w:lineRule="auto"/>
      <w:outlineLvl w:val="9"/>
    </w:pPr>
    <w:rPr>
      <w:rFonts w:ascii="宋体" w:eastAsia="宋体"/>
    </w:rPr>
  </w:style>
  <w:style w:type="paragraph" w:customStyle="1" w:styleId="220">
    <w:name w:val="标准文件_附录五级无标题"/>
    <w:basedOn w:val="89"/>
    <w:autoRedefine/>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autoRedefine/>
    <w:qFormat/>
    <w:uiPriority w:val="0"/>
    <w:pPr>
      <w:spacing w:beforeLines="0" w:afterLines="0" w:line="276" w:lineRule="auto"/>
    </w:pPr>
    <w:rPr>
      <w:rFonts w:ascii="宋体" w:eastAsia="宋体"/>
    </w:rPr>
  </w:style>
  <w:style w:type="paragraph" w:customStyle="1" w:styleId="222">
    <w:name w:val="标准文件_引言二级无标题"/>
    <w:basedOn w:val="206"/>
    <w:next w:val="61"/>
    <w:autoRedefine/>
    <w:qFormat/>
    <w:uiPriority w:val="0"/>
    <w:pPr>
      <w:spacing w:beforeLines="0" w:afterLines="0" w:line="276" w:lineRule="auto"/>
    </w:pPr>
    <w:rPr>
      <w:rFonts w:ascii="宋体" w:eastAsia="宋体"/>
    </w:rPr>
  </w:style>
  <w:style w:type="paragraph" w:customStyle="1" w:styleId="223">
    <w:name w:val="标准文件_引言三级无标题"/>
    <w:basedOn w:val="207"/>
    <w:next w:val="61"/>
    <w:autoRedefine/>
    <w:qFormat/>
    <w:uiPriority w:val="0"/>
    <w:pPr>
      <w:spacing w:beforeLines="0" w:afterLines="0" w:line="276" w:lineRule="auto"/>
    </w:pPr>
    <w:rPr>
      <w:rFonts w:ascii="宋体" w:eastAsia="宋体"/>
    </w:rPr>
  </w:style>
  <w:style w:type="paragraph" w:customStyle="1" w:styleId="224">
    <w:name w:val="标准文件_引言四级无标题"/>
    <w:basedOn w:val="208"/>
    <w:next w:val="61"/>
    <w:autoRedefine/>
    <w:qFormat/>
    <w:uiPriority w:val="0"/>
    <w:pPr>
      <w:spacing w:beforeLines="0" w:afterLines="0" w:line="276" w:lineRule="auto"/>
    </w:pPr>
    <w:rPr>
      <w:rFonts w:ascii="宋体" w:eastAsia="宋体"/>
    </w:rPr>
  </w:style>
  <w:style w:type="paragraph" w:customStyle="1" w:styleId="225">
    <w:name w:val="标准文件_引言五级无标题"/>
    <w:basedOn w:val="209"/>
    <w:next w:val="61"/>
    <w:autoRedefine/>
    <w:qFormat/>
    <w:uiPriority w:val="0"/>
    <w:pPr>
      <w:spacing w:beforeLines="0" w:afterLines="0" w:line="276" w:lineRule="auto"/>
    </w:pPr>
    <w:rPr>
      <w:rFonts w:ascii="宋体" w:eastAsia="宋体"/>
    </w:rPr>
  </w:style>
  <w:style w:type="paragraph" w:customStyle="1" w:styleId="226">
    <w:name w:val="标准文件_索引标题"/>
    <w:basedOn w:val="68"/>
    <w:next w:val="61"/>
    <w:autoRedefine/>
    <w:qFormat/>
    <w:uiPriority w:val="0"/>
    <w:rPr>
      <w:rFonts w:hAnsi="黑体"/>
    </w:rPr>
  </w:style>
  <w:style w:type="paragraph" w:customStyle="1" w:styleId="227">
    <w:name w:val="标准文件_脚注内容"/>
    <w:basedOn w:val="61"/>
    <w:autoRedefine/>
    <w:qFormat/>
    <w:uiPriority w:val="0"/>
    <w:pPr>
      <w:ind w:left="400" w:leftChars="200" w:hanging="200" w:hangingChars="200"/>
    </w:pPr>
    <w:rPr>
      <w:sz w:val="15"/>
    </w:rPr>
  </w:style>
  <w:style w:type="paragraph" w:customStyle="1" w:styleId="228">
    <w:name w:val="标准文件_术语条一"/>
    <w:basedOn w:val="167"/>
    <w:next w:val="61"/>
    <w:autoRedefine/>
    <w:qFormat/>
    <w:uiPriority w:val="0"/>
  </w:style>
  <w:style w:type="paragraph" w:customStyle="1" w:styleId="229">
    <w:name w:val="标准文件_术语条二"/>
    <w:basedOn w:val="170"/>
    <w:next w:val="61"/>
    <w:autoRedefine/>
    <w:qFormat/>
    <w:uiPriority w:val="0"/>
  </w:style>
  <w:style w:type="paragraph" w:customStyle="1" w:styleId="230">
    <w:name w:val="标准文件_术语条三"/>
    <w:basedOn w:val="169"/>
    <w:next w:val="61"/>
    <w:autoRedefine/>
    <w:qFormat/>
    <w:uiPriority w:val="0"/>
  </w:style>
  <w:style w:type="paragraph" w:customStyle="1" w:styleId="231">
    <w:name w:val="标准文件_术语条四"/>
    <w:basedOn w:val="172"/>
    <w:next w:val="61"/>
    <w:autoRedefine/>
    <w:qFormat/>
    <w:uiPriority w:val="0"/>
  </w:style>
  <w:style w:type="paragraph" w:customStyle="1" w:styleId="232">
    <w:name w:val="标准文件_术语条五"/>
    <w:basedOn w:val="168"/>
    <w:next w:val="61"/>
    <w:autoRedefine/>
    <w:qFormat/>
    <w:uiPriority w:val="0"/>
  </w:style>
  <w:style w:type="paragraph" w:customStyle="1" w:styleId="2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autoRedefine/>
    <w:qFormat/>
    <w:uiPriority w:val="0"/>
    <w:rPr>
      <w:rFonts w:ascii="黑体" w:eastAsia="黑体"/>
      <w:spacing w:val="85"/>
      <w:w w:val="100"/>
      <w:position w:val="3"/>
      <w:sz w:val="28"/>
      <w:szCs w:val="28"/>
    </w:rPr>
  </w:style>
  <w:style w:type="paragraph" w:customStyle="1" w:styleId="235">
    <w:name w:val="段"/>
    <w:basedOn w:val="1"/>
    <w:autoRedefine/>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6">
    <w:name w:val="章标题"/>
    <w:basedOn w:val="1"/>
    <w:next w:val="1"/>
    <w:autoRedefine/>
    <w:qFormat/>
    <w:uiPriority w:val="0"/>
    <w:pPr>
      <w:widowControl/>
      <w:adjustRightInd/>
      <w:spacing w:beforeLines="100" w:afterLines="100" w:line="240" w:lineRule="auto"/>
      <w:ind w:left="180"/>
      <w:outlineLvl w:val="1"/>
    </w:pPr>
    <w:rPr>
      <w:rFonts w:ascii="黑体" w:hAnsi="黑体" w:eastAsia="黑体" w:cs="宋体"/>
      <w:kern w:val="0"/>
    </w:rPr>
  </w:style>
  <w:style w:type="character" w:customStyle="1" w:styleId="237">
    <w:name w:val="批注文字 Char"/>
    <w:basedOn w:val="32"/>
    <w:link w:val="13"/>
    <w:autoRedefine/>
    <w:semiHidden/>
    <w:qFormat/>
    <w:uiPriority w:val="99"/>
    <w:rPr>
      <w:rFonts w:ascii="Calibri" w:hAnsi="Calibri"/>
      <w:kern w:val="2"/>
      <w:sz w:val="21"/>
      <w:szCs w:val="21"/>
    </w:rPr>
  </w:style>
  <w:style w:type="character" w:customStyle="1" w:styleId="238">
    <w:name w:val="批注主题 Char"/>
    <w:basedOn w:val="237"/>
    <w:link w:val="29"/>
    <w:autoRedefine/>
    <w:semiHidden/>
    <w:qFormat/>
    <w:uiPriority w:val="99"/>
    <w:rPr>
      <w:rFonts w:ascii="Calibri" w:hAnsi="Calibri"/>
      <w:b/>
      <w:bCs/>
      <w:kern w:val="2"/>
      <w:sz w:val="21"/>
      <w:szCs w:val="21"/>
    </w:rPr>
  </w:style>
  <w:style w:type="character" w:customStyle="1" w:styleId="239">
    <w:name w:val="font101"/>
    <w:autoRedefine/>
    <w:qFormat/>
    <w:uiPriority w:val="0"/>
    <w:rPr>
      <w:rFonts w:hint="eastAsia" w:ascii="宋体" w:hAnsi="宋体" w:eastAsia="宋体" w:cs="宋体"/>
      <w:b/>
      <w:bCs/>
      <w:color w:val="000000"/>
      <w:sz w:val="22"/>
      <w:szCs w:val="22"/>
      <w:u w:val="none"/>
    </w:rPr>
  </w:style>
  <w:style w:type="character" w:customStyle="1" w:styleId="240">
    <w:name w:val="font31"/>
    <w:autoRedefine/>
    <w:qFormat/>
    <w:uiPriority w:val="0"/>
    <w:rPr>
      <w:rFonts w:hint="eastAsia" w:ascii="宋体" w:hAnsi="宋体" w:eastAsia="宋体" w:cs="宋体"/>
      <w:color w:val="000000"/>
      <w:sz w:val="22"/>
      <w:szCs w:val="22"/>
      <w:u w:val="none"/>
    </w:rPr>
  </w:style>
  <w:style w:type="character" w:customStyle="1" w:styleId="241">
    <w:name w:val="font51"/>
    <w:autoRedefine/>
    <w:qFormat/>
    <w:uiPriority w:val="0"/>
    <w:rPr>
      <w:rFonts w:hint="default" w:ascii="Times New Roman" w:hAnsi="Times New Roman" w:cs="Times New Roman"/>
      <w:color w:val="000000"/>
      <w:sz w:val="22"/>
      <w:szCs w:val="22"/>
      <w:u w:val="none"/>
    </w:rPr>
  </w:style>
  <w:style w:type="character" w:customStyle="1" w:styleId="242">
    <w:name w:val="font121"/>
    <w:autoRedefine/>
    <w:qFormat/>
    <w:uiPriority w:val="0"/>
    <w:rPr>
      <w:rFonts w:hint="eastAsia" w:ascii="宋体" w:hAnsi="宋体" w:eastAsia="宋体" w:cs="宋体"/>
      <w:color w:val="000000"/>
      <w:sz w:val="18"/>
      <w:szCs w:val="18"/>
      <w:u w:val="none"/>
    </w:rPr>
  </w:style>
  <w:style w:type="character" w:customStyle="1" w:styleId="243">
    <w:name w:val="font01"/>
    <w:autoRedefine/>
    <w:qFormat/>
    <w:uiPriority w:val="0"/>
    <w:rPr>
      <w:rFonts w:hint="default" w:ascii="Times New Roman" w:hAnsi="Times New Roman" w:cs="Times New Roman"/>
      <w:color w:val="000000"/>
      <w:sz w:val="18"/>
      <w:szCs w:val="18"/>
      <w:u w:val="none"/>
    </w:rPr>
  </w:style>
  <w:style w:type="character" w:customStyle="1" w:styleId="244">
    <w:name w:val="font11"/>
    <w:autoRedefine/>
    <w:qFormat/>
    <w:uiPriority w:val="0"/>
    <w:rPr>
      <w:rFonts w:hint="default" w:ascii="Times New Roman" w:hAnsi="Times New Roman" w:cs="Times New Roman"/>
      <w:color w:val="000000"/>
      <w:sz w:val="22"/>
      <w:szCs w:val="22"/>
      <w:u w:val="none"/>
    </w:rPr>
  </w:style>
  <w:style w:type="character" w:customStyle="1" w:styleId="245">
    <w:name w:val="font131"/>
    <w:autoRedefine/>
    <w:qFormat/>
    <w:uiPriority w:val="0"/>
    <w:rPr>
      <w:rFonts w:hint="eastAsia" w:ascii="宋体" w:hAnsi="宋体" w:eastAsia="宋体" w:cs="宋体"/>
      <w:color w:val="000000"/>
      <w:sz w:val="22"/>
      <w:szCs w:val="22"/>
      <w:u w:val="none"/>
    </w:rPr>
  </w:style>
  <w:style w:type="character" w:customStyle="1" w:styleId="246">
    <w:name w:val="font81"/>
    <w:autoRedefine/>
    <w:qFormat/>
    <w:uiPriority w:val="0"/>
    <w:rPr>
      <w:rFonts w:hint="default" w:ascii="Times New Roman" w:hAnsi="Times New Roman" w:cs="Times New Roman"/>
      <w:i/>
      <w:iCs/>
      <w:color w:val="000000"/>
      <w:sz w:val="22"/>
      <w:szCs w:val="22"/>
      <w:u w:val="none"/>
    </w:rPr>
  </w:style>
  <w:style w:type="character" w:customStyle="1" w:styleId="247">
    <w:name w:val="font161"/>
    <w:autoRedefine/>
    <w:qFormat/>
    <w:uiPriority w:val="0"/>
    <w:rPr>
      <w:rFonts w:hint="eastAsia" w:ascii="宋体" w:hAnsi="宋体" w:eastAsia="宋体" w:cs="宋体"/>
      <w:b/>
      <w:bCs/>
      <w:color w:val="000000"/>
      <w:sz w:val="22"/>
      <w:szCs w:val="22"/>
      <w:u w:val="none"/>
    </w:rPr>
  </w:style>
  <w:style w:type="character" w:customStyle="1" w:styleId="248">
    <w:name w:val="font141"/>
    <w:autoRedefine/>
    <w:qFormat/>
    <w:uiPriority w:val="0"/>
    <w:rPr>
      <w:rFonts w:hint="eastAsia" w:ascii="宋体" w:hAnsi="宋体" w:eastAsia="宋体" w:cs="宋体"/>
      <w:b/>
      <w:bCs/>
      <w:color w:val="000000"/>
      <w:sz w:val="22"/>
      <w:szCs w:val="22"/>
      <w:u w:val="none"/>
    </w:rPr>
  </w:style>
  <w:style w:type="character" w:customStyle="1" w:styleId="249">
    <w:name w:val="font21"/>
    <w:autoRedefine/>
    <w:qFormat/>
    <w:uiPriority w:val="0"/>
    <w:rPr>
      <w:rFonts w:hint="eastAsia" w:ascii="宋体" w:hAnsi="宋体" w:eastAsia="宋体" w:cs="宋体"/>
      <w:color w:val="000000"/>
      <w:sz w:val="22"/>
      <w:szCs w:val="22"/>
      <w:u w:val="none"/>
    </w:rPr>
  </w:style>
  <w:style w:type="character" w:customStyle="1" w:styleId="250">
    <w:name w:val="font41"/>
    <w:autoRedefine/>
    <w:qFormat/>
    <w:uiPriority w:val="0"/>
    <w:rPr>
      <w:rFonts w:hint="default" w:ascii="Times New Roman" w:hAnsi="Times New Roman" w:cs="Times New Roman"/>
      <w:color w:val="000000"/>
      <w:sz w:val="18"/>
      <w:szCs w:val="18"/>
      <w:u w:val="none"/>
    </w:rPr>
  </w:style>
  <w:style w:type="character" w:customStyle="1" w:styleId="251">
    <w:name w:val="font151"/>
    <w:autoRedefine/>
    <w:qFormat/>
    <w:uiPriority w:val="0"/>
    <w:rPr>
      <w:rFonts w:hint="eastAsia" w:ascii="宋体" w:hAnsi="宋体" w:eastAsia="宋体" w:cs="宋体"/>
      <w:color w:val="000000"/>
      <w:sz w:val="22"/>
      <w:szCs w:val="22"/>
      <w:u w:val="none"/>
    </w:rPr>
  </w:style>
  <w:style w:type="character" w:customStyle="1" w:styleId="252">
    <w:name w:val="font181"/>
    <w:autoRedefine/>
    <w:qFormat/>
    <w:uiPriority w:val="0"/>
    <w:rPr>
      <w:rFonts w:hint="eastAsia" w:ascii="宋体" w:hAnsi="宋体" w:eastAsia="宋体" w:cs="宋体"/>
      <w:color w:val="FF0000"/>
      <w:sz w:val="22"/>
      <w:szCs w:val="22"/>
      <w:u w:val="none"/>
    </w:rPr>
  </w:style>
  <w:style w:type="character" w:customStyle="1" w:styleId="253">
    <w:name w:val="font61"/>
    <w:autoRedefine/>
    <w:qFormat/>
    <w:uiPriority w:val="0"/>
    <w:rPr>
      <w:rFonts w:hint="default" w:ascii="Times New Roman" w:hAnsi="Times New Roman" w:cs="Times New Roman"/>
      <w:color w:val="FF0000"/>
      <w:sz w:val="22"/>
      <w:szCs w:val="22"/>
      <w:u w:val="none"/>
    </w:rPr>
  </w:style>
  <w:style w:type="character" w:customStyle="1" w:styleId="254">
    <w:name w:val="font171"/>
    <w:autoRedefine/>
    <w:qFormat/>
    <w:uiPriority w:val="0"/>
    <w:rPr>
      <w:rFonts w:hint="eastAsia" w:ascii="宋体" w:hAnsi="宋体" w:eastAsia="宋体" w:cs="宋体"/>
      <w:color w:val="000000"/>
      <w:sz w:val="16"/>
      <w:szCs w:val="16"/>
      <w:u w:val="none"/>
    </w:rPr>
  </w:style>
  <w:style w:type="character" w:customStyle="1" w:styleId="255">
    <w:name w:val="font201"/>
    <w:autoRedefine/>
    <w:qFormat/>
    <w:uiPriority w:val="0"/>
    <w:rPr>
      <w:rFonts w:hint="eastAsia" w:ascii="宋体" w:hAnsi="宋体" w:eastAsia="宋体" w:cs="宋体"/>
      <w:color w:val="000000"/>
      <w:sz w:val="18"/>
      <w:szCs w:val="18"/>
      <w:u w:val="none"/>
    </w:rPr>
  </w:style>
  <w:style w:type="character" w:customStyle="1" w:styleId="256">
    <w:name w:val="font112"/>
    <w:autoRedefine/>
    <w:qFormat/>
    <w:uiPriority w:val="0"/>
    <w:rPr>
      <w:rFonts w:hint="eastAsia" w:ascii="宋体" w:hAnsi="宋体" w:eastAsia="宋体" w:cs="宋体"/>
      <w:color w:val="000000"/>
      <w:sz w:val="16"/>
      <w:szCs w:val="16"/>
      <w:u w:val="none"/>
    </w:rPr>
  </w:style>
  <w:style w:type="character" w:customStyle="1" w:styleId="257">
    <w:name w:val="font212"/>
    <w:autoRedefine/>
    <w:qFormat/>
    <w:uiPriority w:val="0"/>
    <w:rPr>
      <w:rFonts w:hint="default" w:ascii="Times New Roman" w:hAnsi="Times New Roman" w:cs="Times New Roman"/>
      <w:color w:val="000000"/>
      <w:sz w:val="16"/>
      <w:szCs w:val="16"/>
      <w:u w:val="none"/>
    </w:rPr>
  </w:style>
  <w:style w:type="character" w:customStyle="1" w:styleId="258">
    <w:name w:val="font221"/>
    <w:autoRedefine/>
    <w:qFormat/>
    <w:uiPriority w:val="0"/>
    <w:rPr>
      <w:rFonts w:hint="default" w:ascii="Times New Roman" w:hAnsi="Times New Roman" w:cs="Times New Roman"/>
      <w:color w:val="000000"/>
      <w:sz w:val="22"/>
      <w:szCs w:val="22"/>
      <w:u w:val="none"/>
      <w:vertAlign w:val="superscript"/>
    </w:rPr>
  </w:style>
  <w:style w:type="character" w:customStyle="1" w:styleId="259">
    <w:name w:val="标准文件_附录表标题 Char"/>
    <w:link w:val="82"/>
    <w:autoRedefine/>
    <w:qFormat/>
    <w:uiPriority w:val="0"/>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D51676F08B34AC5A56FBF63AC7A73BC"/>
        <w:style w:val=""/>
        <w:category>
          <w:name w:val="常规"/>
          <w:gallery w:val="placeholder"/>
        </w:category>
        <w:types>
          <w:type w:val="bbPlcHdr"/>
        </w:types>
        <w:behaviors>
          <w:behavior w:val="content"/>
        </w:behaviors>
        <w:description w:val=""/>
        <w:guid w:val="{38F0F32F-52F6-4E8B-884D-C60A4F6EC86B}"/>
      </w:docPartPr>
      <w:docPartBody>
        <w:p>
          <w:pPr>
            <w:pStyle w:val="5"/>
          </w:pPr>
          <w:r>
            <w:rPr>
              <w:rStyle w:val="4"/>
              <w:rFonts w:hint="eastAsia"/>
            </w:rPr>
            <w:t>单击或点击此处输入文字。</w:t>
          </w:r>
        </w:p>
      </w:docPartBody>
    </w:docPart>
    <w:docPart>
      <w:docPartPr>
        <w:name w:val="301EABE90A024F54ADD1DA2A6B43A624"/>
        <w:style w:val=""/>
        <w:category>
          <w:name w:val="常规"/>
          <w:gallery w:val="placeholder"/>
        </w:category>
        <w:types>
          <w:type w:val="bbPlcHdr"/>
        </w:types>
        <w:behaviors>
          <w:behavior w:val="content"/>
        </w:behaviors>
        <w:description w:val=""/>
        <w:guid w:val="{E2499F8E-0C98-44EE-AC55-2F2D637EBF61}"/>
      </w:docPartPr>
      <w:docPartBody>
        <w:p>
          <w:pPr>
            <w:pStyle w:val="7"/>
          </w:pPr>
          <w:r>
            <w:rPr>
              <w:rStyle w:val="4"/>
              <w:rFonts w:hint="eastAsia"/>
            </w:rPr>
            <w:t>选择一项。</w:t>
          </w:r>
        </w:p>
      </w:docPartBody>
    </w:docPart>
    <w:docPart>
      <w:docPartPr>
        <w:name w:val="{18f34006-58c8-453a-bbef-a05c0b281750}"/>
        <w:style w:val=""/>
        <w:category>
          <w:name w:val="常规"/>
          <w:gallery w:val="placeholder"/>
        </w:category>
        <w:types>
          <w:type w:val="bbPlcHdr"/>
        </w:types>
        <w:behaviors>
          <w:behavior w:val="content"/>
        </w:behaviors>
        <w:description w:val=""/>
        <w:guid w:val="{18f34006-58c8-453a-bbef-a05c0b281750}"/>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602CBF"/>
    <w:rsid w:val="000769F8"/>
    <w:rsid w:val="00093E77"/>
    <w:rsid w:val="000A2BCC"/>
    <w:rsid w:val="00354EE5"/>
    <w:rsid w:val="003F2C1E"/>
    <w:rsid w:val="004C099A"/>
    <w:rsid w:val="005F2B3F"/>
    <w:rsid w:val="00602CBF"/>
    <w:rsid w:val="006275BB"/>
    <w:rsid w:val="0086356B"/>
    <w:rsid w:val="00A00239"/>
    <w:rsid w:val="00A047D3"/>
    <w:rsid w:val="00A0786D"/>
    <w:rsid w:val="00A20168"/>
    <w:rsid w:val="00A67CDB"/>
    <w:rsid w:val="00AD300F"/>
    <w:rsid w:val="00B528D0"/>
    <w:rsid w:val="00BA2752"/>
    <w:rsid w:val="00CD59B0"/>
    <w:rsid w:val="00F34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D51676F08B34AC5A56FBF63AC7A73B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EC24535D04A455D902BECD074052C7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1EABE90A024F54ADD1DA2A6B43A62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3BE55963E4D40119DC12F74F064B28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0F090-B38F-4616-ABFD-CDD6BB107505}">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2990</Words>
  <Characters>3622</Characters>
  <Lines>22</Lines>
  <Paragraphs>6</Paragraphs>
  <TotalTime>156</TotalTime>
  <ScaleCrop>false</ScaleCrop>
  <LinksUpToDate>false</LinksUpToDate>
  <CharactersWithSpaces>3782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2022-01-07T08:21:00Z</dcterms:created>
  <dc:creator>xb21cn</dc:creator>
  <dc:description>&lt;config cover="true" show_menu="true" version="1.0.0" doctype="SDKXY"&gt;_x000d_
&lt;/config&gt;</dc:description>
  <cp:lastModifiedBy>天齐</cp:lastModifiedBy>
  <cp:lastPrinted>2020-08-30T10:00:00Z</cp:lastPrinted>
  <dcterms:modified xsi:type="dcterms:W3CDTF">2024-05-12T07:01:30Z</dcterms:modified>
  <dc:title>地方标准</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4C78E1D8F2AB4862A88576FBF400CC4C_13</vt:lpwstr>
  </property>
  <property fmtid="{D5CDD505-2E9C-101B-9397-08002B2CF9AE}" pid="16" name="commondata">
    <vt:lpwstr>eyJoZGlkIjoiZTE5NjNjZTk0OGQ3ODUwZjBhNjAxZTMxYWM4MDcxZWIifQ==</vt:lpwstr>
  </property>
</Properties>
</file>