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4AB67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7C77F54">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16BA503">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 xml:space="preserve">91.020 </w:t>
            </w:r>
            <w:r>
              <w:rPr>
                <w:rFonts w:ascii="黑体" w:hAnsi="黑体" w:eastAsia="黑体"/>
                <w:sz w:val="21"/>
                <w:szCs w:val="21"/>
              </w:rPr>
              <w:fldChar w:fldCharType="end"/>
            </w:r>
            <w:bookmarkEnd w:id="0"/>
          </w:p>
        </w:tc>
      </w:tr>
      <w:tr w14:paraId="77858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FF9C23E">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1622E7C9">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P 50</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545D6FE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5DEBB4AE">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14:paraId="2024D777">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2A884A36">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3DEB341B">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FA92E1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789A2BA">
      <w:pPr>
        <w:pStyle w:val="50"/>
        <w:framePr w:w="9639" w:h="6976" w:hRule="exact" w:hSpace="0" w:vSpace="0" w:wrap="around" w:hAnchor="page" w:y="6408"/>
        <w:jc w:val="center"/>
        <w:rPr>
          <w:rFonts w:ascii="黑体" w:hAnsi="黑体" w:eastAsia="黑体"/>
          <w:b w:val="0"/>
          <w:bCs w:val="0"/>
          <w:w w:val="100"/>
        </w:rPr>
      </w:pPr>
    </w:p>
    <w:p w14:paraId="6A0B9720">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美丽宜居村建设指南</w:t>
      </w:r>
      <w:r>
        <w:fldChar w:fldCharType="end"/>
      </w:r>
      <w:bookmarkEnd w:id="9"/>
    </w:p>
    <w:p w14:paraId="519189EE">
      <w:pPr>
        <w:framePr w:w="9639" w:h="6974" w:hRule="exact" w:wrap="around" w:vAnchor="page" w:hAnchor="page" w:x="1419" w:y="6408" w:anchorLock="1"/>
        <w:ind w:left="-1418"/>
      </w:pPr>
    </w:p>
    <w:p w14:paraId="0459F2F4">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Guidelines for the constrution of beautiful and habitable villages</w:t>
      </w:r>
      <w:r>
        <w:rPr>
          <w:rFonts w:ascii="黑体" w:hAnsi="黑体" w:eastAsia="黑体"/>
          <w:szCs w:val="28"/>
        </w:rPr>
        <w:fldChar w:fldCharType="end"/>
      </w:r>
      <w:bookmarkEnd w:id="10"/>
    </w:p>
    <w:p w14:paraId="42561509">
      <w:pPr>
        <w:framePr w:w="9639" w:h="6974" w:hRule="exact" w:wrap="around" w:vAnchor="page" w:hAnchor="page" w:x="1419" w:y="6408" w:anchorLock="1"/>
        <w:spacing w:line="760" w:lineRule="exact"/>
        <w:ind w:left="-1418"/>
      </w:pPr>
    </w:p>
    <w:p w14:paraId="0B0876FB">
      <w:pPr>
        <w:pStyle w:val="125"/>
        <w:framePr w:w="9639" w:h="6974" w:hRule="exact" w:wrap="around" w:vAnchor="page" w:hAnchor="page" w:x="1419" w:y="6408" w:anchorLock="1"/>
        <w:textAlignment w:val="bottom"/>
        <w:rPr>
          <w:rFonts w:eastAsia="黑体"/>
          <w:szCs w:val="28"/>
        </w:rPr>
      </w:pPr>
    </w:p>
    <w:p w14:paraId="17EEAAE9">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DF1FC2D">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87741E8">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3C1FC5E5">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6D251A4E">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2E659F95">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6E743B0">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1BCED98">
      <w:pPr>
        <w:pStyle w:val="91"/>
        <w:spacing w:after="468"/>
      </w:pPr>
      <w:bookmarkStart w:id="21" w:name="BookMark1"/>
      <w:r>
        <w:rPr>
          <w:rFonts w:hint="eastAsia"/>
          <w:spacing w:val="320"/>
        </w:rPr>
        <w:t>目</w:t>
      </w:r>
      <w:r>
        <w:rPr>
          <w:rFonts w:hint="eastAsia"/>
        </w:rPr>
        <w:t>次</w:t>
      </w:r>
    </w:p>
    <w:p w14:paraId="23C803F4">
      <w:pPr>
        <w:pStyle w:val="19"/>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_Toc13179 </w:instrText>
      </w:r>
      <w:r>
        <w:fldChar w:fldCharType="separate"/>
      </w:r>
      <w:r>
        <w:rPr>
          <w:spacing w:val="320"/>
        </w:rPr>
        <w:t>前</w:t>
      </w:r>
      <w:r>
        <w:t>言</w:t>
      </w:r>
      <w:r>
        <w:tab/>
      </w:r>
      <w:r>
        <w:fldChar w:fldCharType="begin"/>
      </w:r>
      <w:r>
        <w:instrText xml:space="preserve"> PAGEREF _Toc13179 \h </w:instrText>
      </w:r>
      <w:r>
        <w:fldChar w:fldCharType="separate"/>
      </w:r>
      <w:r>
        <w:t>III</w:t>
      </w:r>
      <w:r>
        <w:fldChar w:fldCharType="end"/>
      </w:r>
      <w:r>
        <w:fldChar w:fldCharType="end"/>
      </w:r>
    </w:p>
    <w:p w14:paraId="08514E73">
      <w:pPr>
        <w:pStyle w:val="19"/>
        <w:tabs>
          <w:tab w:val="right" w:leader="dot" w:pos="9354"/>
        </w:tabs>
      </w:pPr>
      <w:r>
        <w:fldChar w:fldCharType="begin"/>
      </w:r>
      <w:r>
        <w:instrText xml:space="preserve"> HYPERLINK \l _Toc15337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_Toc15337 \h </w:instrText>
      </w:r>
      <w:r>
        <w:fldChar w:fldCharType="separate"/>
      </w:r>
      <w:r>
        <w:t>4</w:t>
      </w:r>
      <w:r>
        <w:fldChar w:fldCharType="end"/>
      </w:r>
      <w:r>
        <w:fldChar w:fldCharType="end"/>
      </w:r>
    </w:p>
    <w:p w14:paraId="12905C57">
      <w:pPr>
        <w:pStyle w:val="19"/>
        <w:tabs>
          <w:tab w:val="right" w:leader="dot" w:pos="9354"/>
        </w:tabs>
      </w:pPr>
      <w:r>
        <w:fldChar w:fldCharType="begin"/>
      </w:r>
      <w:r>
        <w:instrText xml:space="preserve"> HYPERLINK \l _Toc26450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_Toc26450 \h </w:instrText>
      </w:r>
      <w:r>
        <w:fldChar w:fldCharType="separate"/>
      </w:r>
      <w:r>
        <w:t>4</w:t>
      </w:r>
      <w:r>
        <w:fldChar w:fldCharType="end"/>
      </w:r>
      <w:r>
        <w:fldChar w:fldCharType="end"/>
      </w:r>
    </w:p>
    <w:p w14:paraId="5721DFA1">
      <w:pPr>
        <w:pStyle w:val="19"/>
        <w:tabs>
          <w:tab w:val="right" w:leader="dot" w:pos="9354"/>
        </w:tabs>
      </w:pPr>
      <w:r>
        <w:fldChar w:fldCharType="begin"/>
      </w:r>
      <w:r>
        <w:instrText xml:space="preserve"> HYPERLINK \l _Toc17645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_Toc17645 \h </w:instrText>
      </w:r>
      <w:r>
        <w:fldChar w:fldCharType="separate"/>
      </w:r>
      <w:r>
        <w:t>4</w:t>
      </w:r>
      <w:r>
        <w:fldChar w:fldCharType="end"/>
      </w:r>
      <w:r>
        <w:fldChar w:fldCharType="end"/>
      </w:r>
    </w:p>
    <w:p w14:paraId="3E0C24FB">
      <w:pPr>
        <w:pStyle w:val="24"/>
        <w:tabs>
          <w:tab w:val="right" w:leader="dot" w:pos="9354"/>
          <w:tab w:val="clear" w:pos="9344"/>
        </w:tabs>
      </w:pPr>
      <w:r>
        <w:fldChar w:fldCharType="begin"/>
      </w:r>
      <w:r>
        <w:instrText xml:space="preserve"> HYPERLINK \l _Toc17093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3.1 </w:t>
      </w:r>
      <w:r>
        <w:rPr>
          <w:rFonts w:hint="eastAsia"/>
        </w:rPr>
        <w:t>美丽宜居村</w:t>
      </w:r>
      <w:r>
        <w:tab/>
      </w:r>
      <w:r>
        <w:fldChar w:fldCharType="begin"/>
      </w:r>
      <w:r>
        <w:instrText xml:space="preserve"> PAGEREF _Toc17093 \h </w:instrText>
      </w:r>
      <w:r>
        <w:fldChar w:fldCharType="separate"/>
      </w:r>
      <w:r>
        <w:t>4</w:t>
      </w:r>
      <w:r>
        <w:fldChar w:fldCharType="end"/>
      </w:r>
      <w:r>
        <w:fldChar w:fldCharType="end"/>
      </w:r>
    </w:p>
    <w:p w14:paraId="1AF22549">
      <w:pPr>
        <w:pStyle w:val="19"/>
        <w:tabs>
          <w:tab w:val="right" w:leader="dot" w:pos="9354"/>
        </w:tabs>
      </w:pPr>
      <w:r>
        <w:fldChar w:fldCharType="begin"/>
      </w:r>
      <w:r>
        <w:instrText xml:space="preserve"> HYPERLINK \l _Toc8884 </w:instrText>
      </w:r>
      <w:r>
        <w:fldChar w:fldCharType="separate"/>
      </w:r>
      <w:r>
        <w:rPr>
          <w:rFonts w:hint="eastAsia" w:ascii="黑体" w:eastAsia="黑体"/>
          <w:i w:val="0"/>
        </w:rPr>
        <w:t xml:space="preserve">4 </w:t>
      </w:r>
      <w:r>
        <w:rPr>
          <w:rFonts w:hint="eastAsia"/>
        </w:rPr>
        <w:t>总则</w:t>
      </w:r>
      <w:r>
        <w:tab/>
      </w:r>
      <w:r>
        <w:fldChar w:fldCharType="begin"/>
      </w:r>
      <w:r>
        <w:instrText xml:space="preserve"> PAGEREF _Toc8884 \h </w:instrText>
      </w:r>
      <w:r>
        <w:fldChar w:fldCharType="separate"/>
      </w:r>
      <w:r>
        <w:t>5</w:t>
      </w:r>
      <w:r>
        <w:fldChar w:fldCharType="end"/>
      </w:r>
      <w:r>
        <w:fldChar w:fldCharType="end"/>
      </w:r>
    </w:p>
    <w:p w14:paraId="092EC48C">
      <w:pPr>
        <w:pStyle w:val="19"/>
        <w:tabs>
          <w:tab w:val="right" w:leader="dot" w:pos="9354"/>
        </w:tabs>
      </w:pPr>
      <w:r>
        <w:fldChar w:fldCharType="begin"/>
      </w:r>
      <w:r>
        <w:instrText xml:space="preserve"> HYPERLINK \l _Toc24116 </w:instrText>
      </w:r>
      <w:r>
        <w:fldChar w:fldCharType="separate"/>
      </w:r>
      <w:r>
        <w:rPr>
          <w:rFonts w:hint="eastAsia" w:ascii="黑体" w:eastAsia="黑体"/>
          <w:i w:val="0"/>
        </w:rPr>
        <w:t xml:space="preserve">5 </w:t>
      </w:r>
      <w:r>
        <w:rPr>
          <w:rFonts w:hint="eastAsia"/>
        </w:rPr>
        <w:t>村庄规划</w:t>
      </w:r>
      <w:r>
        <w:tab/>
      </w:r>
      <w:r>
        <w:fldChar w:fldCharType="begin"/>
      </w:r>
      <w:r>
        <w:instrText xml:space="preserve"> PAGEREF _Toc24116 \h </w:instrText>
      </w:r>
      <w:r>
        <w:fldChar w:fldCharType="separate"/>
      </w:r>
      <w:r>
        <w:t>5</w:t>
      </w:r>
      <w:r>
        <w:fldChar w:fldCharType="end"/>
      </w:r>
      <w:r>
        <w:fldChar w:fldCharType="end"/>
      </w:r>
    </w:p>
    <w:p w14:paraId="15A81F40">
      <w:pPr>
        <w:pStyle w:val="19"/>
        <w:tabs>
          <w:tab w:val="right" w:leader="dot" w:pos="9354"/>
        </w:tabs>
      </w:pPr>
      <w:r>
        <w:fldChar w:fldCharType="begin"/>
      </w:r>
      <w:r>
        <w:instrText xml:space="preserve"> HYPERLINK \l _Toc8891 </w:instrText>
      </w:r>
      <w:r>
        <w:fldChar w:fldCharType="separate"/>
      </w:r>
      <w:r>
        <w:rPr>
          <w:rFonts w:hint="eastAsia" w:ascii="黑体" w:eastAsia="黑体"/>
          <w:i w:val="0"/>
        </w:rPr>
        <w:t xml:space="preserve">6 </w:t>
      </w:r>
      <w:r>
        <w:rPr>
          <w:rFonts w:hint="eastAsia"/>
        </w:rPr>
        <w:t>基础设施</w:t>
      </w:r>
      <w:r>
        <w:tab/>
      </w:r>
      <w:r>
        <w:fldChar w:fldCharType="begin"/>
      </w:r>
      <w:r>
        <w:instrText xml:space="preserve"> PAGEREF _Toc8891 \h </w:instrText>
      </w:r>
      <w:r>
        <w:fldChar w:fldCharType="separate"/>
      </w:r>
      <w:r>
        <w:t>5</w:t>
      </w:r>
      <w:r>
        <w:fldChar w:fldCharType="end"/>
      </w:r>
      <w:r>
        <w:fldChar w:fldCharType="end"/>
      </w:r>
    </w:p>
    <w:p w14:paraId="3A074466">
      <w:pPr>
        <w:pStyle w:val="24"/>
        <w:tabs>
          <w:tab w:val="right" w:leader="dot" w:pos="9354"/>
          <w:tab w:val="clear" w:pos="9344"/>
        </w:tabs>
      </w:pPr>
      <w:r>
        <w:fldChar w:fldCharType="begin"/>
      </w:r>
      <w:r>
        <w:instrText xml:space="preserve"> HYPERLINK \l _Toc5439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 </w:t>
      </w:r>
      <w:r>
        <w:rPr>
          <w:rFonts w:hint="eastAsia"/>
        </w:rPr>
        <w:t>道路交通</w:t>
      </w:r>
      <w:r>
        <w:tab/>
      </w:r>
      <w:r>
        <w:fldChar w:fldCharType="begin"/>
      </w:r>
      <w:r>
        <w:instrText xml:space="preserve"> PAGEREF _Toc5439 \h </w:instrText>
      </w:r>
      <w:r>
        <w:fldChar w:fldCharType="separate"/>
      </w:r>
      <w:r>
        <w:t>5</w:t>
      </w:r>
      <w:r>
        <w:fldChar w:fldCharType="end"/>
      </w:r>
      <w:r>
        <w:fldChar w:fldCharType="end"/>
      </w:r>
    </w:p>
    <w:p w14:paraId="589D78AA">
      <w:pPr>
        <w:pStyle w:val="24"/>
        <w:tabs>
          <w:tab w:val="right" w:leader="dot" w:pos="9354"/>
          <w:tab w:val="clear" w:pos="9344"/>
        </w:tabs>
      </w:pPr>
      <w:r>
        <w:fldChar w:fldCharType="begin"/>
      </w:r>
      <w:r>
        <w:instrText xml:space="preserve"> HYPERLINK \l _Toc19927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6.2 </w:t>
      </w:r>
      <w:r>
        <w:rPr>
          <w:rFonts w:hint="eastAsia"/>
        </w:rPr>
        <w:t>供水</w:t>
      </w:r>
      <w:r>
        <w:tab/>
      </w:r>
      <w:r>
        <w:fldChar w:fldCharType="begin"/>
      </w:r>
      <w:r>
        <w:instrText xml:space="preserve"> PAGEREF _Toc19927 \h </w:instrText>
      </w:r>
      <w:r>
        <w:fldChar w:fldCharType="separate"/>
      </w:r>
      <w:r>
        <w:t>6</w:t>
      </w:r>
      <w:r>
        <w:fldChar w:fldCharType="end"/>
      </w:r>
      <w:r>
        <w:fldChar w:fldCharType="end"/>
      </w:r>
    </w:p>
    <w:p w14:paraId="37442B83">
      <w:pPr>
        <w:pStyle w:val="24"/>
        <w:tabs>
          <w:tab w:val="right" w:leader="dot" w:pos="9354"/>
          <w:tab w:val="clear" w:pos="9344"/>
        </w:tabs>
      </w:pPr>
      <w:r>
        <w:fldChar w:fldCharType="begin"/>
      </w:r>
      <w:r>
        <w:instrText xml:space="preserve"> HYPERLINK \l _Toc16980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6.3 </w:t>
      </w:r>
      <w:r>
        <w:rPr>
          <w:rFonts w:hint="eastAsia"/>
        </w:rPr>
        <w:t>清洁能源</w:t>
      </w:r>
      <w:r>
        <w:tab/>
      </w:r>
      <w:r>
        <w:fldChar w:fldCharType="begin"/>
      </w:r>
      <w:r>
        <w:instrText xml:space="preserve"> PAGEREF _Toc16980 \h </w:instrText>
      </w:r>
      <w:r>
        <w:fldChar w:fldCharType="separate"/>
      </w:r>
      <w:r>
        <w:t>6</w:t>
      </w:r>
      <w:r>
        <w:fldChar w:fldCharType="end"/>
      </w:r>
      <w:r>
        <w:fldChar w:fldCharType="end"/>
      </w:r>
    </w:p>
    <w:p w14:paraId="358FCCC6">
      <w:pPr>
        <w:pStyle w:val="24"/>
        <w:tabs>
          <w:tab w:val="right" w:leader="dot" w:pos="9354"/>
          <w:tab w:val="clear" w:pos="9344"/>
        </w:tabs>
      </w:pPr>
      <w:r>
        <w:fldChar w:fldCharType="begin"/>
      </w:r>
      <w:r>
        <w:instrText xml:space="preserve"> HYPERLINK \l _Toc24065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6.4 </w:t>
      </w:r>
      <w:r>
        <w:rPr>
          <w:rFonts w:hint="eastAsia"/>
        </w:rPr>
        <w:t>冷链物流</w:t>
      </w:r>
      <w:r>
        <w:tab/>
      </w:r>
      <w:r>
        <w:fldChar w:fldCharType="begin"/>
      </w:r>
      <w:r>
        <w:instrText xml:space="preserve"> PAGEREF _Toc24065 \h </w:instrText>
      </w:r>
      <w:r>
        <w:fldChar w:fldCharType="separate"/>
      </w:r>
      <w:r>
        <w:t>6</w:t>
      </w:r>
      <w:r>
        <w:fldChar w:fldCharType="end"/>
      </w:r>
      <w:r>
        <w:fldChar w:fldCharType="end"/>
      </w:r>
    </w:p>
    <w:p w14:paraId="6401AB95">
      <w:pPr>
        <w:pStyle w:val="24"/>
        <w:tabs>
          <w:tab w:val="right" w:leader="dot" w:pos="9354"/>
          <w:tab w:val="clear" w:pos="9344"/>
        </w:tabs>
      </w:pPr>
      <w:r>
        <w:fldChar w:fldCharType="begin"/>
      </w:r>
      <w:r>
        <w:instrText xml:space="preserve"> HYPERLINK \l _Toc25534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6.5 </w:t>
      </w:r>
      <w:r>
        <w:rPr>
          <w:rFonts w:hint="eastAsia"/>
        </w:rPr>
        <w:t>数字乡村</w:t>
      </w:r>
      <w:r>
        <w:tab/>
      </w:r>
      <w:r>
        <w:fldChar w:fldCharType="begin"/>
      </w:r>
      <w:r>
        <w:instrText xml:space="preserve"> PAGEREF _Toc25534 \h </w:instrText>
      </w:r>
      <w:r>
        <w:fldChar w:fldCharType="separate"/>
      </w:r>
      <w:r>
        <w:t>6</w:t>
      </w:r>
      <w:r>
        <w:fldChar w:fldCharType="end"/>
      </w:r>
      <w:r>
        <w:fldChar w:fldCharType="end"/>
      </w:r>
    </w:p>
    <w:p w14:paraId="08D580E9">
      <w:pPr>
        <w:pStyle w:val="24"/>
        <w:tabs>
          <w:tab w:val="right" w:leader="dot" w:pos="9354"/>
          <w:tab w:val="clear" w:pos="9344"/>
        </w:tabs>
      </w:pPr>
      <w:r>
        <w:fldChar w:fldCharType="begin"/>
      </w:r>
      <w:r>
        <w:instrText xml:space="preserve"> HYPERLINK \l _Toc15270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6.6 </w:t>
      </w:r>
      <w:r>
        <w:rPr>
          <w:rFonts w:hint="eastAsia"/>
        </w:rPr>
        <w:t>农村住房</w:t>
      </w:r>
      <w:r>
        <w:tab/>
      </w:r>
      <w:r>
        <w:fldChar w:fldCharType="begin"/>
      </w:r>
      <w:r>
        <w:instrText xml:space="preserve"> PAGEREF _Toc15270 \h </w:instrText>
      </w:r>
      <w:r>
        <w:fldChar w:fldCharType="separate"/>
      </w:r>
      <w:r>
        <w:t>7</w:t>
      </w:r>
      <w:r>
        <w:fldChar w:fldCharType="end"/>
      </w:r>
      <w:r>
        <w:fldChar w:fldCharType="end"/>
      </w:r>
    </w:p>
    <w:p w14:paraId="5BF159EF">
      <w:pPr>
        <w:pStyle w:val="24"/>
        <w:tabs>
          <w:tab w:val="right" w:leader="dot" w:pos="9354"/>
          <w:tab w:val="clear" w:pos="9344"/>
        </w:tabs>
      </w:pPr>
      <w:r>
        <w:fldChar w:fldCharType="begin"/>
      </w:r>
      <w:r>
        <w:instrText xml:space="preserve"> HYPERLINK \l _Toc24132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6.7 </w:t>
      </w:r>
      <w:r>
        <w:rPr>
          <w:rFonts w:hint="eastAsia"/>
        </w:rPr>
        <w:t>公共照明</w:t>
      </w:r>
      <w:r>
        <w:tab/>
      </w:r>
      <w:r>
        <w:fldChar w:fldCharType="begin"/>
      </w:r>
      <w:r>
        <w:instrText xml:space="preserve"> PAGEREF _Toc24132 \h </w:instrText>
      </w:r>
      <w:r>
        <w:fldChar w:fldCharType="separate"/>
      </w:r>
      <w:r>
        <w:t>7</w:t>
      </w:r>
      <w:r>
        <w:fldChar w:fldCharType="end"/>
      </w:r>
      <w:r>
        <w:fldChar w:fldCharType="end"/>
      </w:r>
    </w:p>
    <w:p w14:paraId="65626593">
      <w:pPr>
        <w:pStyle w:val="19"/>
        <w:tabs>
          <w:tab w:val="right" w:leader="dot" w:pos="9354"/>
        </w:tabs>
      </w:pPr>
      <w:r>
        <w:fldChar w:fldCharType="begin"/>
      </w:r>
      <w:r>
        <w:instrText xml:space="preserve"> HYPERLINK \l _Toc1621 </w:instrText>
      </w:r>
      <w:r>
        <w:fldChar w:fldCharType="separate"/>
      </w:r>
      <w:r>
        <w:rPr>
          <w:rFonts w:hint="eastAsia" w:ascii="黑体" w:eastAsia="黑体"/>
          <w:i w:val="0"/>
        </w:rPr>
        <w:t xml:space="preserve">7 </w:t>
      </w:r>
      <w:r>
        <w:rPr>
          <w:rFonts w:hint="eastAsia"/>
        </w:rPr>
        <w:t>人居环境</w:t>
      </w:r>
      <w:r>
        <w:tab/>
      </w:r>
      <w:r>
        <w:fldChar w:fldCharType="begin"/>
      </w:r>
      <w:r>
        <w:instrText xml:space="preserve"> PAGEREF _Toc1621 \h </w:instrText>
      </w:r>
      <w:r>
        <w:fldChar w:fldCharType="separate"/>
      </w:r>
      <w:r>
        <w:t>7</w:t>
      </w:r>
      <w:r>
        <w:fldChar w:fldCharType="end"/>
      </w:r>
      <w:r>
        <w:fldChar w:fldCharType="end"/>
      </w:r>
    </w:p>
    <w:p w14:paraId="29AAC20E">
      <w:pPr>
        <w:pStyle w:val="24"/>
        <w:tabs>
          <w:tab w:val="right" w:leader="dot" w:pos="9354"/>
          <w:tab w:val="clear" w:pos="9344"/>
        </w:tabs>
      </w:pPr>
      <w:r>
        <w:fldChar w:fldCharType="begin"/>
      </w:r>
      <w:r>
        <w:instrText xml:space="preserve"> HYPERLINK \l _Toc29073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7.1 </w:t>
      </w:r>
      <w:r>
        <w:rPr>
          <w:rFonts w:hint="eastAsia"/>
        </w:rPr>
        <w:t>垃圾治理</w:t>
      </w:r>
      <w:r>
        <w:tab/>
      </w:r>
      <w:r>
        <w:fldChar w:fldCharType="begin"/>
      </w:r>
      <w:r>
        <w:instrText xml:space="preserve"> PAGEREF _Toc29073 \h </w:instrText>
      </w:r>
      <w:r>
        <w:fldChar w:fldCharType="separate"/>
      </w:r>
      <w:r>
        <w:t>7</w:t>
      </w:r>
      <w:r>
        <w:fldChar w:fldCharType="end"/>
      </w:r>
      <w:r>
        <w:fldChar w:fldCharType="end"/>
      </w:r>
    </w:p>
    <w:p w14:paraId="65B6BFBE">
      <w:pPr>
        <w:pStyle w:val="24"/>
        <w:tabs>
          <w:tab w:val="right" w:leader="dot" w:pos="9354"/>
          <w:tab w:val="clear" w:pos="9344"/>
        </w:tabs>
      </w:pPr>
      <w:r>
        <w:fldChar w:fldCharType="begin"/>
      </w:r>
      <w:r>
        <w:instrText xml:space="preserve"> HYPERLINK \l _Toc3073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7.2 </w:t>
      </w:r>
      <w:r>
        <w:rPr>
          <w:rFonts w:hint="eastAsia"/>
        </w:rPr>
        <w:t>污水治理</w:t>
      </w:r>
      <w:r>
        <w:tab/>
      </w:r>
      <w:r>
        <w:fldChar w:fldCharType="begin"/>
      </w:r>
      <w:r>
        <w:instrText xml:space="preserve"> PAGEREF _Toc3073 \h </w:instrText>
      </w:r>
      <w:r>
        <w:fldChar w:fldCharType="separate"/>
      </w:r>
      <w:r>
        <w:t>7</w:t>
      </w:r>
      <w:r>
        <w:fldChar w:fldCharType="end"/>
      </w:r>
      <w:r>
        <w:fldChar w:fldCharType="end"/>
      </w:r>
    </w:p>
    <w:p w14:paraId="62B3393F">
      <w:pPr>
        <w:pStyle w:val="24"/>
        <w:tabs>
          <w:tab w:val="right" w:leader="dot" w:pos="9354"/>
          <w:tab w:val="clear" w:pos="9344"/>
        </w:tabs>
      </w:pPr>
      <w:r>
        <w:fldChar w:fldCharType="begin"/>
      </w:r>
      <w:r>
        <w:instrText xml:space="preserve"> HYPERLINK \l _Toc21752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7.3 </w:t>
      </w:r>
      <w:r>
        <w:rPr>
          <w:rFonts w:hint="eastAsia"/>
        </w:rPr>
        <w:t>农村厕所</w:t>
      </w:r>
      <w:r>
        <w:tab/>
      </w:r>
      <w:r>
        <w:fldChar w:fldCharType="begin"/>
      </w:r>
      <w:r>
        <w:instrText xml:space="preserve"> PAGEREF _Toc21752 \h </w:instrText>
      </w:r>
      <w:r>
        <w:fldChar w:fldCharType="separate"/>
      </w:r>
      <w:r>
        <w:t>7</w:t>
      </w:r>
      <w:r>
        <w:fldChar w:fldCharType="end"/>
      </w:r>
      <w:r>
        <w:fldChar w:fldCharType="end"/>
      </w:r>
    </w:p>
    <w:p w14:paraId="425BF77A">
      <w:pPr>
        <w:pStyle w:val="24"/>
        <w:tabs>
          <w:tab w:val="right" w:leader="dot" w:pos="9354"/>
          <w:tab w:val="clear" w:pos="9344"/>
        </w:tabs>
      </w:pPr>
      <w:r>
        <w:fldChar w:fldCharType="begin"/>
      </w:r>
      <w:r>
        <w:instrText xml:space="preserve"> HYPERLINK \l _Toc27441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7.4 </w:t>
      </w:r>
      <w:r>
        <w:rPr>
          <w:rFonts w:hint="eastAsia"/>
        </w:rPr>
        <w:t>环境质量</w:t>
      </w:r>
      <w:r>
        <w:tab/>
      </w:r>
      <w:r>
        <w:fldChar w:fldCharType="begin"/>
      </w:r>
      <w:r>
        <w:instrText xml:space="preserve"> PAGEREF _Toc27441 \h </w:instrText>
      </w:r>
      <w:r>
        <w:fldChar w:fldCharType="separate"/>
      </w:r>
      <w:r>
        <w:t>8</w:t>
      </w:r>
      <w:r>
        <w:fldChar w:fldCharType="end"/>
      </w:r>
      <w:r>
        <w:fldChar w:fldCharType="end"/>
      </w:r>
    </w:p>
    <w:p w14:paraId="136F9FFC">
      <w:pPr>
        <w:pStyle w:val="24"/>
        <w:tabs>
          <w:tab w:val="right" w:leader="dot" w:pos="9354"/>
          <w:tab w:val="clear" w:pos="9344"/>
        </w:tabs>
      </w:pPr>
      <w:r>
        <w:fldChar w:fldCharType="begin"/>
      </w:r>
      <w:r>
        <w:instrText xml:space="preserve"> HYPERLINK \l _Toc26458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7.5 </w:t>
      </w:r>
      <w:r>
        <w:rPr>
          <w:rFonts w:hint="eastAsia"/>
        </w:rPr>
        <w:t>生态保护与治理</w:t>
      </w:r>
      <w:r>
        <w:tab/>
      </w:r>
      <w:r>
        <w:fldChar w:fldCharType="begin"/>
      </w:r>
      <w:r>
        <w:instrText xml:space="preserve"> PAGEREF _Toc26458 \h </w:instrText>
      </w:r>
      <w:r>
        <w:fldChar w:fldCharType="separate"/>
      </w:r>
      <w:r>
        <w:t>8</w:t>
      </w:r>
      <w:r>
        <w:fldChar w:fldCharType="end"/>
      </w:r>
      <w:r>
        <w:fldChar w:fldCharType="end"/>
      </w:r>
    </w:p>
    <w:p w14:paraId="65D3DB53">
      <w:pPr>
        <w:pStyle w:val="24"/>
        <w:tabs>
          <w:tab w:val="right" w:leader="dot" w:pos="9354"/>
          <w:tab w:val="clear" w:pos="9344"/>
        </w:tabs>
      </w:pPr>
      <w:r>
        <w:fldChar w:fldCharType="begin"/>
      </w:r>
      <w:r>
        <w:instrText xml:space="preserve"> HYPERLINK \l _Toc16341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7.6 </w:t>
      </w:r>
      <w:r>
        <w:rPr>
          <w:rFonts w:hint="eastAsia"/>
        </w:rPr>
        <w:t>病媒生物综合防治</w:t>
      </w:r>
      <w:r>
        <w:tab/>
      </w:r>
      <w:r>
        <w:fldChar w:fldCharType="begin"/>
      </w:r>
      <w:r>
        <w:instrText xml:space="preserve"> PAGEREF _Toc16341 \h </w:instrText>
      </w:r>
      <w:r>
        <w:fldChar w:fldCharType="separate"/>
      </w:r>
      <w:r>
        <w:t>8</w:t>
      </w:r>
      <w:r>
        <w:fldChar w:fldCharType="end"/>
      </w:r>
      <w:r>
        <w:fldChar w:fldCharType="end"/>
      </w:r>
    </w:p>
    <w:p w14:paraId="3A2BED8F">
      <w:pPr>
        <w:pStyle w:val="24"/>
        <w:tabs>
          <w:tab w:val="right" w:leader="dot" w:pos="9354"/>
          <w:tab w:val="clear" w:pos="9344"/>
        </w:tabs>
      </w:pPr>
      <w:r>
        <w:fldChar w:fldCharType="begin"/>
      </w:r>
      <w:r>
        <w:instrText xml:space="preserve"> HYPERLINK \l _Toc29491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7.7 </w:t>
      </w:r>
      <w:r>
        <w:rPr>
          <w:rFonts w:hint="eastAsia"/>
        </w:rPr>
        <w:t>村容村貌</w:t>
      </w:r>
      <w:r>
        <w:tab/>
      </w:r>
      <w:r>
        <w:fldChar w:fldCharType="begin"/>
      </w:r>
      <w:r>
        <w:instrText xml:space="preserve"> PAGEREF _Toc29491 \h </w:instrText>
      </w:r>
      <w:r>
        <w:fldChar w:fldCharType="separate"/>
      </w:r>
      <w:r>
        <w:t>8</w:t>
      </w:r>
      <w:r>
        <w:fldChar w:fldCharType="end"/>
      </w:r>
      <w:r>
        <w:fldChar w:fldCharType="end"/>
      </w:r>
    </w:p>
    <w:p w14:paraId="13E0738C">
      <w:pPr>
        <w:pStyle w:val="19"/>
        <w:tabs>
          <w:tab w:val="right" w:leader="dot" w:pos="9354"/>
        </w:tabs>
      </w:pPr>
      <w:r>
        <w:fldChar w:fldCharType="begin"/>
      </w:r>
      <w:r>
        <w:instrText xml:space="preserve"> HYPERLINK \l _Toc30617 </w:instrText>
      </w:r>
      <w:r>
        <w:fldChar w:fldCharType="separate"/>
      </w:r>
      <w:r>
        <w:rPr>
          <w:rFonts w:hint="eastAsia" w:ascii="黑体" w:eastAsia="黑体"/>
          <w:i w:val="0"/>
        </w:rPr>
        <w:t xml:space="preserve">8 </w:t>
      </w:r>
      <w:r>
        <w:rPr>
          <w:rFonts w:hint="eastAsia"/>
        </w:rPr>
        <w:t>公共服务</w:t>
      </w:r>
      <w:r>
        <w:tab/>
      </w:r>
      <w:r>
        <w:fldChar w:fldCharType="begin"/>
      </w:r>
      <w:r>
        <w:instrText xml:space="preserve"> PAGEREF _Toc30617 \h </w:instrText>
      </w:r>
      <w:r>
        <w:fldChar w:fldCharType="separate"/>
      </w:r>
      <w:r>
        <w:t>9</w:t>
      </w:r>
      <w:r>
        <w:fldChar w:fldCharType="end"/>
      </w:r>
      <w:r>
        <w:fldChar w:fldCharType="end"/>
      </w:r>
    </w:p>
    <w:p w14:paraId="061DD12A">
      <w:pPr>
        <w:pStyle w:val="24"/>
        <w:tabs>
          <w:tab w:val="right" w:leader="dot" w:pos="9354"/>
          <w:tab w:val="clear" w:pos="9344"/>
        </w:tabs>
      </w:pPr>
      <w:r>
        <w:fldChar w:fldCharType="begin"/>
      </w:r>
      <w:r>
        <w:instrText xml:space="preserve"> HYPERLINK \l _Toc20508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8.1 </w:t>
      </w:r>
      <w:r>
        <w:rPr>
          <w:rFonts w:hint="eastAsia"/>
        </w:rPr>
        <w:t>农村教育</w:t>
      </w:r>
      <w:r>
        <w:tab/>
      </w:r>
      <w:r>
        <w:fldChar w:fldCharType="begin"/>
      </w:r>
      <w:r>
        <w:instrText xml:space="preserve"> PAGEREF _Toc20508 \h </w:instrText>
      </w:r>
      <w:r>
        <w:fldChar w:fldCharType="separate"/>
      </w:r>
      <w:r>
        <w:t>9</w:t>
      </w:r>
      <w:r>
        <w:fldChar w:fldCharType="end"/>
      </w:r>
      <w:r>
        <w:fldChar w:fldCharType="end"/>
      </w:r>
    </w:p>
    <w:p w14:paraId="3507539A">
      <w:pPr>
        <w:pStyle w:val="24"/>
        <w:tabs>
          <w:tab w:val="right" w:leader="dot" w:pos="9354"/>
          <w:tab w:val="clear" w:pos="9344"/>
        </w:tabs>
      </w:pPr>
      <w:r>
        <w:fldChar w:fldCharType="begin"/>
      </w:r>
      <w:r>
        <w:instrText xml:space="preserve"> HYPERLINK \l _Toc4581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8.2 </w:t>
      </w:r>
      <w:r>
        <w:rPr>
          <w:rFonts w:hint="eastAsia"/>
        </w:rPr>
        <w:t>文化体育</w:t>
      </w:r>
      <w:r>
        <w:tab/>
      </w:r>
      <w:r>
        <w:fldChar w:fldCharType="begin"/>
      </w:r>
      <w:r>
        <w:instrText xml:space="preserve"> PAGEREF _Toc4581 \h </w:instrText>
      </w:r>
      <w:r>
        <w:fldChar w:fldCharType="separate"/>
      </w:r>
      <w:r>
        <w:t>9</w:t>
      </w:r>
      <w:r>
        <w:fldChar w:fldCharType="end"/>
      </w:r>
      <w:r>
        <w:fldChar w:fldCharType="end"/>
      </w:r>
    </w:p>
    <w:p w14:paraId="197523F2">
      <w:pPr>
        <w:pStyle w:val="24"/>
        <w:tabs>
          <w:tab w:val="right" w:leader="dot" w:pos="9354"/>
          <w:tab w:val="clear" w:pos="9344"/>
        </w:tabs>
      </w:pPr>
      <w:r>
        <w:fldChar w:fldCharType="begin"/>
      </w:r>
      <w:r>
        <w:instrText xml:space="preserve"> HYPERLINK \l _Toc13631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8.3 </w:t>
      </w:r>
      <w:r>
        <w:rPr>
          <w:rFonts w:hint="eastAsia"/>
        </w:rPr>
        <w:t>医疗卫生</w:t>
      </w:r>
      <w:r>
        <w:tab/>
      </w:r>
      <w:r>
        <w:fldChar w:fldCharType="begin"/>
      </w:r>
      <w:r>
        <w:instrText xml:space="preserve"> PAGEREF _Toc13631 \h </w:instrText>
      </w:r>
      <w:r>
        <w:fldChar w:fldCharType="separate"/>
      </w:r>
      <w:r>
        <w:t>9</w:t>
      </w:r>
      <w:r>
        <w:fldChar w:fldCharType="end"/>
      </w:r>
      <w:r>
        <w:fldChar w:fldCharType="end"/>
      </w:r>
    </w:p>
    <w:p w14:paraId="43133B9C">
      <w:pPr>
        <w:pStyle w:val="24"/>
        <w:tabs>
          <w:tab w:val="right" w:leader="dot" w:pos="9354"/>
          <w:tab w:val="clear" w:pos="9344"/>
        </w:tabs>
      </w:pPr>
      <w:r>
        <w:fldChar w:fldCharType="begin"/>
      </w:r>
      <w:r>
        <w:instrText xml:space="preserve"> HYPERLINK \l _Toc28925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8.4 </w:t>
      </w:r>
      <w:r>
        <w:rPr>
          <w:rFonts w:hint="eastAsia"/>
        </w:rPr>
        <w:t>养老服务</w:t>
      </w:r>
      <w:r>
        <w:tab/>
      </w:r>
      <w:r>
        <w:fldChar w:fldCharType="begin"/>
      </w:r>
      <w:r>
        <w:instrText xml:space="preserve"> PAGEREF _Toc28925 \h </w:instrText>
      </w:r>
      <w:r>
        <w:fldChar w:fldCharType="separate"/>
      </w:r>
      <w:r>
        <w:t>10</w:t>
      </w:r>
      <w:r>
        <w:fldChar w:fldCharType="end"/>
      </w:r>
      <w:r>
        <w:fldChar w:fldCharType="end"/>
      </w:r>
    </w:p>
    <w:p w14:paraId="146B16D1">
      <w:pPr>
        <w:pStyle w:val="24"/>
        <w:tabs>
          <w:tab w:val="right" w:leader="dot" w:pos="9354"/>
          <w:tab w:val="clear" w:pos="9344"/>
        </w:tabs>
      </w:pPr>
      <w:r>
        <w:fldChar w:fldCharType="begin"/>
      </w:r>
      <w:r>
        <w:instrText xml:space="preserve"> HYPERLINK \l _Toc27796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8.5 </w:t>
      </w:r>
      <w:r>
        <w:rPr>
          <w:rFonts w:hint="eastAsia"/>
        </w:rPr>
        <w:t>社会保障</w:t>
      </w:r>
      <w:r>
        <w:tab/>
      </w:r>
      <w:r>
        <w:fldChar w:fldCharType="begin"/>
      </w:r>
      <w:r>
        <w:instrText xml:space="preserve"> PAGEREF _Toc27796 \h </w:instrText>
      </w:r>
      <w:r>
        <w:fldChar w:fldCharType="separate"/>
      </w:r>
      <w:r>
        <w:t>10</w:t>
      </w:r>
      <w:r>
        <w:fldChar w:fldCharType="end"/>
      </w:r>
      <w:r>
        <w:fldChar w:fldCharType="end"/>
      </w:r>
    </w:p>
    <w:p w14:paraId="70A74C82">
      <w:pPr>
        <w:pStyle w:val="24"/>
        <w:tabs>
          <w:tab w:val="right" w:leader="dot" w:pos="9354"/>
          <w:tab w:val="clear" w:pos="9344"/>
        </w:tabs>
      </w:pPr>
      <w:r>
        <w:fldChar w:fldCharType="begin"/>
      </w:r>
      <w:r>
        <w:instrText xml:space="preserve"> HYPERLINK \l _Toc19659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8.6 </w:t>
      </w:r>
      <w:r>
        <w:rPr>
          <w:rFonts w:hint="eastAsia"/>
        </w:rPr>
        <w:t>就业创业</w:t>
      </w:r>
      <w:r>
        <w:tab/>
      </w:r>
      <w:r>
        <w:fldChar w:fldCharType="begin"/>
      </w:r>
      <w:r>
        <w:instrText xml:space="preserve"> PAGEREF _Toc19659 \h </w:instrText>
      </w:r>
      <w:r>
        <w:fldChar w:fldCharType="separate"/>
      </w:r>
      <w:r>
        <w:t>10</w:t>
      </w:r>
      <w:r>
        <w:fldChar w:fldCharType="end"/>
      </w:r>
      <w:r>
        <w:fldChar w:fldCharType="end"/>
      </w:r>
    </w:p>
    <w:p w14:paraId="208E5B32">
      <w:pPr>
        <w:pStyle w:val="24"/>
        <w:tabs>
          <w:tab w:val="right" w:leader="dot" w:pos="9354"/>
          <w:tab w:val="clear" w:pos="9344"/>
        </w:tabs>
      </w:pPr>
      <w:r>
        <w:fldChar w:fldCharType="begin"/>
      </w:r>
      <w:r>
        <w:instrText xml:space="preserve"> HYPERLINK \l _Toc21729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8.7 </w:t>
      </w:r>
      <w:r>
        <w:rPr>
          <w:rFonts w:hint="eastAsia"/>
        </w:rPr>
        <w:t>便民服务</w:t>
      </w:r>
      <w:r>
        <w:tab/>
      </w:r>
      <w:r>
        <w:fldChar w:fldCharType="begin"/>
      </w:r>
      <w:r>
        <w:instrText xml:space="preserve"> PAGEREF _Toc21729 \h </w:instrText>
      </w:r>
      <w:r>
        <w:fldChar w:fldCharType="separate"/>
      </w:r>
      <w:r>
        <w:t>10</w:t>
      </w:r>
      <w:r>
        <w:fldChar w:fldCharType="end"/>
      </w:r>
      <w:r>
        <w:fldChar w:fldCharType="end"/>
      </w:r>
    </w:p>
    <w:p w14:paraId="4CB0D916">
      <w:pPr>
        <w:pStyle w:val="24"/>
        <w:tabs>
          <w:tab w:val="right" w:leader="dot" w:pos="9354"/>
          <w:tab w:val="clear" w:pos="9344"/>
        </w:tabs>
      </w:pPr>
      <w:r>
        <w:fldChar w:fldCharType="begin"/>
      </w:r>
      <w:r>
        <w:instrText xml:space="preserve"> HYPERLINK \l _Toc7520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8.8 </w:t>
      </w:r>
      <w:r>
        <w:rPr>
          <w:rFonts w:hint="eastAsia"/>
        </w:rPr>
        <w:t>公共安全</w:t>
      </w:r>
      <w:r>
        <w:tab/>
      </w:r>
      <w:r>
        <w:fldChar w:fldCharType="begin"/>
      </w:r>
      <w:r>
        <w:instrText xml:space="preserve"> PAGEREF _Toc7520 \h </w:instrText>
      </w:r>
      <w:r>
        <w:fldChar w:fldCharType="separate"/>
      </w:r>
      <w:r>
        <w:t>10</w:t>
      </w:r>
      <w:r>
        <w:fldChar w:fldCharType="end"/>
      </w:r>
      <w:r>
        <w:fldChar w:fldCharType="end"/>
      </w:r>
    </w:p>
    <w:p w14:paraId="57DA7272">
      <w:pPr>
        <w:pStyle w:val="24"/>
        <w:tabs>
          <w:tab w:val="right" w:leader="dot" w:pos="9354"/>
          <w:tab w:val="clear" w:pos="9344"/>
        </w:tabs>
      </w:pPr>
      <w:r>
        <w:fldChar w:fldCharType="begin"/>
      </w:r>
      <w:r>
        <w:instrText xml:space="preserve"> HYPERLINK \l _Toc20685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8.9 </w:t>
      </w:r>
      <w:r>
        <w:rPr>
          <w:rFonts w:hint="eastAsia"/>
        </w:rPr>
        <w:t>安保服务</w:t>
      </w:r>
      <w:r>
        <w:tab/>
      </w:r>
      <w:r>
        <w:fldChar w:fldCharType="begin"/>
      </w:r>
      <w:r>
        <w:instrText xml:space="preserve"> PAGEREF _Toc20685 \h </w:instrText>
      </w:r>
      <w:r>
        <w:fldChar w:fldCharType="separate"/>
      </w:r>
      <w:r>
        <w:t>10</w:t>
      </w:r>
      <w:r>
        <w:fldChar w:fldCharType="end"/>
      </w:r>
      <w:r>
        <w:fldChar w:fldCharType="end"/>
      </w:r>
    </w:p>
    <w:p w14:paraId="30D139E6">
      <w:pPr>
        <w:pStyle w:val="19"/>
        <w:tabs>
          <w:tab w:val="right" w:leader="dot" w:pos="9354"/>
        </w:tabs>
      </w:pPr>
      <w:r>
        <w:fldChar w:fldCharType="begin"/>
      </w:r>
      <w:r>
        <w:instrText xml:space="preserve"> HYPERLINK \l _Toc16953 </w:instrText>
      </w:r>
      <w:r>
        <w:fldChar w:fldCharType="separate"/>
      </w:r>
      <w:r>
        <w:rPr>
          <w:rFonts w:hint="eastAsia" w:ascii="黑体" w:eastAsia="黑体"/>
          <w:i w:val="0"/>
        </w:rPr>
        <w:t xml:space="preserve">9 </w:t>
      </w:r>
      <w:r>
        <w:rPr>
          <w:rFonts w:hint="eastAsia"/>
        </w:rPr>
        <w:t>经济产业</w:t>
      </w:r>
      <w:r>
        <w:tab/>
      </w:r>
      <w:r>
        <w:fldChar w:fldCharType="begin"/>
      </w:r>
      <w:r>
        <w:instrText xml:space="preserve"> PAGEREF _Toc16953 \h </w:instrText>
      </w:r>
      <w:r>
        <w:fldChar w:fldCharType="separate"/>
      </w:r>
      <w:r>
        <w:t>11</w:t>
      </w:r>
      <w:r>
        <w:fldChar w:fldCharType="end"/>
      </w:r>
      <w:r>
        <w:fldChar w:fldCharType="end"/>
      </w:r>
    </w:p>
    <w:p w14:paraId="514DE905">
      <w:pPr>
        <w:pStyle w:val="24"/>
        <w:tabs>
          <w:tab w:val="right" w:leader="dot" w:pos="9354"/>
          <w:tab w:val="clear" w:pos="9344"/>
        </w:tabs>
      </w:pPr>
      <w:r>
        <w:fldChar w:fldCharType="begin"/>
      </w:r>
      <w:r>
        <w:instrText xml:space="preserve"> HYPERLINK \l _Toc29580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9.1 </w:t>
      </w:r>
      <w:r>
        <w:rPr>
          <w:rFonts w:hint="eastAsia"/>
        </w:rPr>
        <w:t>农业发展</w:t>
      </w:r>
      <w:r>
        <w:tab/>
      </w:r>
      <w:r>
        <w:fldChar w:fldCharType="begin"/>
      </w:r>
      <w:r>
        <w:instrText xml:space="preserve"> PAGEREF _Toc29580 \h </w:instrText>
      </w:r>
      <w:r>
        <w:fldChar w:fldCharType="separate"/>
      </w:r>
      <w:r>
        <w:t>11</w:t>
      </w:r>
      <w:r>
        <w:fldChar w:fldCharType="end"/>
      </w:r>
      <w:r>
        <w:fldChar w:fldCharType="end"/>
      </w:r>
    </w:p>
    <w:p w14:paraId="09D1233C">
      <w:pPr>
        <w:pStyle w:val="24"/>
        <w:tabs>
          <w:tab w:val="right" w:leader="dot" w:pos="9354"/>
          <w:tab w:val="clear" w:pos="9344"/>
        </w:tabs>
      </w:pPr>
      <w:r>
        <w:fldChar w:fldCharType="begin"/>
      </w:r>
      <w:r>
        <w:instrText xml:space="preserve"> HYPERLINK \l _Toc5306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9.2 </w:t>
      </w:r>
      <w:r>
        <w:rPr>
          <w:rFonts w:hint="eastAsia"/>
        </w:rPr>
        <w:t>产业融合</w:t>
      </w:r>
      <w:r>
        <w:tab/>
      </w:r>
      <w:r>
        <w:fldChar w:fldCharType="begin"/>
      </w:r>
      <w:r>
        <w:instrText xml:space="preserve"> PAGEREF _Toc5306 \h </w:instrText>
      </w:r>
      <w:r>
        <w:fldChar w:fldCharType="separate"/>
      </w:r>
      <w:r>
        <w:t>11</w:t>
      </w:r>
      <w:r>
        <w:fldChar w:fldCharType="end"/>
      </w:r>
      <w:r>
        <w:fldChar w:fldCharType="end"/>
      </w:r>
    </w:p>
    <w:p w14:paraId="716831B8">
      <w:pPr>
        <w:pStyle w:val="24"/>
        <w:tabs>
          <w:tab w:val="right" w:leader="dot" w:pos="9354"/>
          <w:tab w:val="clear" w:pos="9344"/>
        </w:tabs>
      </w:pPr>
      <w:r>
        <w:fldChar w:fldCharType="begin"/>
      </w:r>
      <w:r>
        <w:instrText xml:space="preserve"> HYPERLINK \l _Toc32751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9.3 </w:t>
      </w:r>
      <w:r>
        <w:rPr>
          <w:rFonts w:hint="eastAsia"/>
        </w:rPr>
        <w:t>集体经济</w:t>
      </w:r>
      <w:r>
        <w:tab/>
      </w:r>
      <w:r>
        <w:fldChar w:fldCharType="begin"/>
      </w:r>
      <w:r>
        <w:instrText xml:space="preserve"> PAGEREF _Toc32751 \h </w:instrText>
      </w:r>
      <w:r>
        <w:fldChar w:fldCharType="separate"/>
      </w:r>
      <w:r>
        <w:t>11</w:t>
      </w:r>
      <w:r>
        <w:fldChar w:fldCharType="end"/>
      </w:r>
      <w:r>
        <w:fldChar w:fldCharType="end"/>
      </w:r>
    </w:p>
    <w:p w14:paraId="5F84EE37">
      <w:pPr>
        <w:pStyle w:val="24"/>
        <w:tabs>
          <w:tab w:val="right" w:leader="dot" w:pos="9354"/>
          <w:tab w:val="clear" w:pos="9344"/>
        </w:tabs>
      </w:pPr>
      <w:r>
        <w:fldChar w:fldCharType="begin"/>
      </w:r>
      <w:r>
        <w:instrText xml:space="preserve"> HYPERLINK \l _Toc18309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9.4 </w:t>
      </w:r>
      <w:r>
        <w:rPr>
          <w:rFonts w:hint="eastAsia"/>
        </w:rPr>
        <w:t>村民收入</w:t>
      </w:r>
      <w:r>
        <w:tab/>
      </w:r>
      <w:r>
        <w:fldChar w:fldCharType="begin"/>
      </w:r>
      <w:r>
        <w:instrText xml:space="preserve"> PAGEREF _Toc18309 \h </w:instrText>
      </w:r>
      <w:r>
        <w:fldChar w:fldCharType="separate"/>
      </w:r>
      <w:r>
        <w:t>11</w:t>
      </w:r>
      <w:r>
        <w:fldChar w:fldCharType="end"/>
      </w:r>
      <w:r>
        <w:fldChar w:fldCharType="end"/>
      </w:r>
    </w:p>
    <w:p w14:paraId="44ABF280">
      <w:pPr>
        <w:pStyle w:val="19"/>
        <w:tabs>
          <w:tab w:val="right" w:leader="dot" w:pos="9354"/>
        </w:tabs>
      </w:pPr>
      <w:r>
        <w:fldChar w:fldCharType="begin"/>
      </w:r>
      <w:r>
        <w:instrText xml:space="preserve"> HYPERLINK \l _Toc13525 </w:instrText>
      </w:r>
      <w:r>
        <w:fldChar w:fldCharType="separate"/>
      </w:r>
      <w:r>
        <w:rPr>
          <w:rFonts w:hint="eastAsia" w:ascii="黑体" w:eastAsia="黑体"/>
          <w:i w:val="0"/>
        </w:rPr>
        <w:t xml:space="preserve">10 </w:t>
      </w:r>
      <w:r>
        <w:rPr>
          <w:rFonts w:hint="eastAsia"/>
        </w:rPr>
        <w:t>乡村治理</w:t>
      </w:r>
      <w:r>
        <w:tab/>
      </w:r>
      <w:r>
        <w:fldChar w:fldCharType="begin"/>
      </w:r>
      <w:r>
        <w:instrText xml:space="preserve"> PAGEREF _Toc13525 \h </w:instrText>
      </w:r>
      <w:r>
        <w:fldChar w:fldCharType="separate"/>
      </w:r>
      <w:r>
        <w:t>11</w:t>
      </w:r>
      <w:r>
        <w:fldChar w:fldCharType="end"/>
      </w:r>
      <w:r>
        <w:fldChar w:fldCharType="end"/>
      </w:r>
    </w:p>
    <w:p w14:paraId="2DB7DF57">
      <w:pPr>
        <w:pStyle w:val="24"/>
        <w:tabs>
          <w:tab w:val="right" w:leader="dot" w:pos="9354"/>
          <w:tab w:val="clear" w:pos="9344"/>
        </w:tabs>
      </w:pPr>
      <w:r>
        <w:fldChar w:fldCharType="begin"/>
      </w:r>
      <w:r>
        <w:instrText xml:space="preserve"> HYPERLINK \l _Toc16795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10.1 </w:t>
      </w:r>
      <w:r>
        <w:rPr>
          <w:rFonts w:hint="eastAsia"/>
        </w:rPr>
        <w:t>基层组织建设</w:t>
      </w:r>
      <w:r>
        <w:tab/>
      </w:r>
      <w:r>
        <w:fldChar w:fldCharType="begin"/>
      </w:r>
      <w:r>
        <w:instrText xml:space="preserve"> PAGEREF _Toc16795 \h </w:instrText>
      </w:r>
      <w:r>
        <w:fldChar w:fldCharType="separate"/>
      </w:r>
      <w:r>
        <w:t>12</w:t>
      </w:r>
      <w:r>
        <w:fldChar w:fldCharType="end"/>
      </w:r>
      <w:r>
        <w:fldChar w:fldCharType="end"/>
      </w:r>
    </w:p>
    <w:p w14:paraId="41513ABF">
      <w:pPr>
        <w:pStyle w:val="24"/>
        <w:tabs>
          <w:tab w:val="right" w:leader="dot" w:pos="9354"/>
          <w:tab w:val="clear" w:pos="9344"/>
        </w:tabs>
      </w:pPr>
      <w:r>
        <w:fldChar w:fldCharType="begin"/>
      </w:r>
      <w:r>
        <w:instrText xml:space="preserve"> HYPERLINK \l _Toc31319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10.2 </w:t>
      </w:r>
      <w:r>
        <w:rPr>
          <w:rFonts w:hint="eastAsia"/>
        </w:rPr>
        <w:t>乡村治理体系</w:t>
      </w:r>
      <w:r>
        <w:tab/>
      </w:r>
      <w:r>
        <w:fldChar w:fldCharType="begin"/>
      </w:r>
      <w:r>
        <w:instrText xml:space="preserve"> PAGEREF _Toc31319 \h </w:instrText>
      </w:r>
      <w:r>
        <w:fldChar w:fldCharType="separate"/>
      </w:r>
      <w:r>
        <w:t>12</w:t>
      </w:r>
      <w:r>
        <w:fldChar w:fldCharType="end"/>
      </w:r>
      <w:r>
        <w:fldChar w:fldCharType="end"/>
      </w:r>
    </w:p>
    <w:p w14:paraId="4AE4FC73">
      <w:pPr>
        <w:pStyle w:val="24"/>
        <w:tabs>
          <w:tab w:val="right" w:leader="dot" w:pos="9354"/>
          <w:tab w:val="clear" w:pos="9344"/>
        </w:tabs>
      </w:pPr>
      <w:r>
        <w:fldChar w:fldCharType="begin"/>
      </w:r>
      <w:r>
        <w:instrText xml:space="preserve"> HYPERLINK \l _Toc23397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10.3 </w:t>
      </w:r>
      <w:r>
        <w:rPr>
          <w:rFonts w:hint="eastAsia"/>
        </w:rPr>
        <w:t>乡风文明</w:t>
      </w:r>
      <w:r>
        <w:tab/>
      </w:r>
      <w:r>
        <w:fldChar w:fldCharType="begin"/>
      </w:r>
      <w:r>
        <w:instrText xml:space="preserve"> PAGEREF _Toc23397 \h </w:instrText>
      </w:r>
      <w:r>
        <w:fldChar w:fldCharType="separate"/>
      </w:r>
      <w:r>
        <w:t>12</w:t>
      </w:r>
      <w:r>
        <w:fldChar w:fldCharType="end"/>
      </w:r>
      <w:r>
        <w:fldChar w:fldCharType="end"/>
      </w:r>
    </w:p>
    <w:p w14:paraId="5E9DFF2C">
      <w:pPr>
        <w:pStyle w:val="24"/>
        <w:tabs>
          <w:tab w:val="right" w:leader="dot" w:pos="9354"/>
          <w:tab w:val="clear" w:pos="9344"/>
        </w:tabs>
      </w:pPr>
      <w:r>
        <w:fldChar w:fldCharType="begin"/>
      </w:r>
      <w:r>
        <w:instrText xml:space="preserve"> HYPERLINK \l _Toc23847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10.4 </w:t>
      </w:r>
      <w:r>
        <w:rPr>
          <w:rFonts w:hint="eastAsia"/>
        </w:rPr>
        <w:t>长效管理</w:t>
      </w:r>
      <w:r>
        <w:tab/>
      </w:r>
      <w:r>
        <w:fldChar w:fldCharType="begin"/>
      </w:r>
      <w:r>
        <w:instrText xml:space="preserve"> PAGEREF _Toc23847 \h </w:instrText>
      </w:r>
      <w:r>
        <w:fldChar w:fldCharType="separate"/>
      </w:r>
      <w:r>
        <w:t>12</w:t>
      </w:r>
      <w:r>
        <w:fldChar w:fldCharType="end"/>
      </w:r>
      <w:r>
        <w:fldChar w:fldCharType="end"/>
      </w:r>
    </w:p>
    <w:p w14:paraId="58391158">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4464619D">
      <w:pPr>
        <w:pStyle w:val="89"/>
        <w:spacing w:before="900" w:after="468"/>
      </w:pPr>
      <w:bookmarkStart w:id="22" w:name="_Toc13179"/>
      <w:bookmarkStart w:id="23" w:name="BookMark2"/>
      <w:r>
        <w:rPr>
          <w:spacing w:val="320"/>
        </w:rPr>
        <w:t>前</w:t>
      </w:r>
      <w:r>
        <w:t>言</w:t>
      </w:r>
      <w:bookmarkEnd w:id="22"/>
    </w:p>
    <w:p w14:paraId="12B0FE14">
      <w:pPr>
        <w:pStyle w:val="56"/>
        <w:ind w:firstLine="420"/>
      </w:pPr>
      <w:r>
        <w:rPr>
          <w:rFonts w:hint="eastAsia"/>
          <w:lang w:eastAsia="zh-CN"/>
        </w:rPr>
        <w:t>本指南</w:t>
      </w:r>
      <w:r>
        <w:rPr>
          <w:rFonts w:hint="eastAsia"/>
        </w:rPr>
        <w:t>按照GB/T 1.1—2020《标准化工作导则  第1部分：标准化文件的结构和起草规则》的规定起草。</w:t>
      </w:r>
    </w:p>
    <w:p w14:paraId="7A0CEFDC">
      <w:pPr>
        <w:pStyle w:val="56"/>
        <w:ind w:firstLine="420"/>
      </w:pPr>
      <w:r>
        <w:rPr>
          <w:rFonts w:hint="eastAsia"/>
        </w:rPr>
        <w:t>请注意</w:t>
      </w:r>
      <w:r>
        <w:rPr>
          <w:rFonts w:hint="eastAsia"/>
          <w:lang w:eastAsia="zh-CN"/>
        </w:rPr>
        <w:t>本指南</w:t>
      </w:r>
      <w:r>
        <w:rPr>
          <w:rFonts w:hint="eastAsia"/>
        </w:rPr>
        <w:t>的某些内容可能涉及专利。</w:t>
      </w:r>
      <w:r>
        <w:rPr>
          <w:rFonts w:hint="eastAsia"/>
          <w:lang w:eastAsia="zh-CN"/>
        </w:rPr>
        <w:t>本指南</w:t>
      </w:r>
      <w:r>
        <w:rPr>
          <w:rFonts w:hint="eastAsia"/>
        </w:rPr>
        <w:t>的发布机构不承担识别专利的责任。</w:t>
      </w:r>
    </w:p>
    <w:p w14:paraId="2A87A8A5">
      <w:pPr>
        <w:pStyle w:val="56"/>
        <w:ind w:firstLine="420"/>
      </w:pPr>
      <w:r>
        <w:rPr>
          <w:rFonts w:hint="eastAsia"/>
          <w:lang w:eastAsia="zh-CN"/>
        </w:rPr>
        <w:t>本指南</w:t>
      </w:r>
      <w:r>
        <w:rPr>
          <w:rFonts w:hint="eastAsia"/>
        </w:rPr>
        <w:t>由辽宁省农业农村厅提出并归口，同时负责标准的宣贯、监督实施等工作。</w:t>
      </w:r>
    </w:p>
    <w:p w14:paraId="01576C6F">
      <w:pPr>
        <w:pStyle w:val="56"/>
        <w:ind w:firstLine="420"/>
      </w:pPr>
      <w:r>
        <w:rPr>
          <w:rFonts w:hint="eastAsia"/>
          <w:lang w:eastAsia="zh-CN"/>
        </w:rPr>
        <w:t>本指南</w:t>
      </w:r>
      <w:r>
        <w:rPr>
          <w:rFonts w:hint="eastAsia"/>
        </w:rPr>
        <w:t>起草单位：辽宁省城乡建设规划设计院有限责任公司、辽宁省</w:t>
      </w:r>
      <w:r>
        <w:rPr>
          <w:rFonts w:hint="eastAsia"/>
          <w:lang w:val="en-US" w:eastAsia="zh-CN"/>
        </w:rPr>
        <w:t>市政工程设计研究院</w:t>
      </w:r>
      <w:r>
        <w:rPr>
          <w:rFonts w:hint="eastAsia"/>
        </w:rPr>
        <w:t>有限责任公司、沈阳农业大学经济管理学院、沈阳农业大学乡村振兴战略研究院、辽宁省农业科学院农业规划设计研究院、辽宁省农业农村发展服务中心。</w:t>
      </w:r>
    </w:p>
    <w:p w14:paraId="1AB20F7F">
      <w:pPr>
        <w:pStyle w:val="56"/>
        <w:ind w:firstLine="420"/>
        <w:rPr>
          <w:rFonts w:hint="eastAsia" w:eastAsia="宋体"/>
          <w:lang w:eastAsia="zh-CN"/>
        </w:rPr>
      </w:pPr>
      <w:r>
        <w:rPr>
          <w:rFonts w:hint="eastAsia"/>
          <w:lang w:eastAsia="zh-CN"/>
        </w:rPr>
        <w:t>本指南</w:t>
      </w:r>
      <w:r>
        <w:rPr>
          <w:rFonts w:hint="eastAsia"/>
        </w:rPr>
        <w:t>主要起草人：张立鹏、马猛、王越、李晓雨、李筱楚、向川川、景再方、潘春玲、张宜军、丑述睿、潘百涛、崔婷、</w:t>
      </w:r>
      <w:r>
        <w:rPr>
          <w:rFonts w:hint="eastAsia"/>
          <w:lang w:val="en-US" w:eastAsia="zh-CN"/>
        </w:rPr>
        <w:t>迟翔、王欣彤、</w:t>
      </w:r>
      <w:r>
        <w:rPr>
          <w:rFonts w:hint="eastAsia"/>
        </w:rPr>
        <w:t>王嫚、秦璐、丁岩、姜金龙</w:t>
      </w:r>
      <w:r>
        <w:rPr>
          <w:rFonts w:hint="eastAsia"/>
          <w:lang w:eastAsia="zh-CN"/>
        </w:rPr>
        <w:t>、刘淄博、李天姝、陶佳睿、滕文超、李宛鸿。</w:t>
      </w:r>
    </w:p>
    <w:p w14:paraId="08BD87C8">
      <w:pPr>
        <w:pStyle w:val="56"/>
        <w:ind w:firstLine="420"/>
      </w:pPr>
      <w:r>
        <w:rPr>
          <w:rFonts w:hint="eastAsia"/>
          <w:lang w:eastAsia="zh-CN"/>
        </w:rPr>
        <w:t>本指南</w:t>
      </w:r>
      <w:r>
        <w:rPr>
          <w:rFonts w:hint="eastAsia"/>
        </w:rPr>
        <w:t>布实施后，任何单位和个人如有问题和意见建议，均可以通过来电、来函等方式进行反馈，我们将及时答复并认真处理，根据实施情况依法进行评估及复审。</w:t>
      </w:r>
    </w:p>
    <w:p w14:paraId="1FC10748">
      <w:pPr>
        <w:pStyle w:val="56"/>
        <w:ind w:firstLine="420"/>
      </w:pPr>
      <w:r>
        <w:rPr>
          <w:rFonts w:hint="eastAsia"/>
        </w:rPr>
        <w:t>文件归口部门通讯地址：辽宁省农业农村厅（沈阳市和平区太原街2号），联系电话：024-</w:t>
      </w:r>
      <w:r>
        <w:t>XXXX</w:t>
      </w:r>
      <w:r>
        <w:rPr>
          <w:rFonts w:hint="eastAsia"/>
        </w:rPr>
        <w:t>。</w:t>
      </w:r>
    </w:p>
    <w:p w14:paraId="499D2443">
      <w:pPr>
        <w:pStyle w:val="56"/>
        <w:ind w:firstLine="420"/>
      </w:pPr>
      <w:r>
        <w:rPr>
          <w:rFonts w:hint="eastAsia"/>
        </w:rPr>
        <w:t>文件起草单位通讯地址：辽宁省城乡建设规划设计院有限责任公司（</w:t>
      </w:r>
      <w:r>
        <w:rPr>
          <w:rFonts w:hint="eastAsia" w:hAnsi="宋体" w:cs="宋体"/>
          <w:color w:val="000000" w:themeColor="text1"/>
          <w:szCs w:val="21"/>
          <w14:textFill>
            <w14:solidFill>
              <w14:schemeClr w14:val="tx1"/>
            </w14:solidFill>
          </w14:textFill>
        </w:rPr>
        <w:t>沈阳市和平区南五马路185巷3号</w:t>
      </w:r>
      <w:r>
        <w:rPr>
          <w:rFonts w:hint="eastAsia"/>
        </w:rPr>
        <w:t>），联系电话：</w:t>
      </w:r>
      <w:r>
        <w:rPr>
          <w:rFonts w:hint="eastAsia" w:hAnsi="宋体" w:cs="宋体"/>
          <w:color w:val="000000" w:themeColor="text1"/>
          <w:szCs w:val="21"/>
          <w14:textFill>
            <w14:solidFill>
              <w14:schemeClr w14:val="tx1"/>
            </w14:solidFill>
          </w14:textFill>
        </w:rPr>
        <w:t>024-</w:t>
      </w:r>
      <w:r>
        <w:rPr>
          <w:rFonts w:hAnsi="宋体" w:cs="宋体"/>
          <w:color w:val="000000" w:themeColor="text1"/>
          <w:szCs w:val="21"/>
          <w14:textFill>
            <w14:solidFill>
              <w14:schemeClr w14:val="tx1"/>
            </w14:solidFill>
          </w14:textFill>
        </w:rPr>
        <w:t>23232465</w:t>
      </w:r>
      <w:r>
        <w:rPr>
          <w:rFonts w:hint="eastAsia"/>
        </w:rPr>
        <w:t>。</w:t>
      </w:r>
    </w:p>
    <w:p w14:paraId="0C393CFF">
      <w:pPr>
        <w:pStyle w:val="56"/>
        <w:ind w:firstLine="420"/>
      </w:pPr>
    </w:p>
    <w:p w14:paraId="39D950B2">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3"/>
    <w:p w14:paraId="5979EA18">
      <w:pPr>
        <w:spacing w:line="20" w:lineRule="exact"/>
        <w:jc w:val="center"/>
        <w:rPr>
          <w:rFonts w:ascii="黑体" w:hAnsi="黑体" w:eastAsia="黑体"/>
          <w:sz w:val="32"/>
          <w:szCs w:val="32"/>
        </w:rPr>
      </w:pPr>
      <w:bookmarkStart w:id="24" w:name="BookMark4"/>
    </w:p>
    <w:p w14:paraId="5EAD8D35">
      <w:pPr>
        <w:spacing w:line="20" w:lineRule="exact"/>
        <w:jc w:val="center"/>
        <w:rPr>
          <w:rFonts w:ascii="黑体" w:hAnsi="黑体" w:eastAsia="黑体"/>
          <w:sz w:val="32"/>
          <w:szCs w:val="32"/>
        </w:rPr>
      </w:pPr>
    </w:p>
    <w:sdt>
      <w:sdtPr>
        <w:tag w:val="NEW_STAND_NAME"/>
        <w:id w:val="595910757"/>
        <w:lock w:val="sdtLocked"/>
        <w:placeholder>
          <w:docPart w:val="2077009B9F5744EE85C580EB0A6A3044"/>
        </w:placeholder>
      </w:sdtPr>
      <w:sdtContent>
        <w:p w14:paraId="40E09E9B">
          <w:pPr>
            <w:pStyle w:val="177"/>
            <w:spacing w:before="3" w:beforeLines="1" w:after="686" w:afterLines="220"/>
          </w:pPr>
          <w:bookmarkStart w:id="25" w:name="NEW_STAND_NAME"/>
          <w:r>
            <w:rPr>
              <w:rFonts w:hint="eastAsia"/>
            </w:rPr>
            <w:t>美丽宜居村建设指南</w:t>
          </w:r>
        </w:p>
      </w:sdtContent>
    </w:sdt>
    <w:bookmarkEnd w:id="25"/>
    <w:p w14:paraId="1ACADECD">
      <w:pPr>
        <w:pStyle w:val="104"/>
        <w:spacing w:before="312" w:after="312"/>
      </w:pPr>
      <w:bookmarkStart w:id="26" w:name="_Toc24884218"/>
      <w:bookmarkStart w:id="27" w:name="_Toc26648465"/>
      <w:bookmarkStart w:id="28" w:name="_Toc17233333"/>
      <w:bookmarkStart w:id="29" w:name="_Toc164062120"/>
      <w:bookmarkStart w:id="30" w:name="_Toc15337"/>
      <w:bookmarkStart w:id="31" w:name="_Toc26986771"/>
      <w:bookmarkStart w:id="32" w:name="_Toc26718930"/>
      <w:bookmarkStart w:id="33" w:name="_Toc97191423"/>
      <w:bookmarkStart w:id="34" w:name="_Toc17233325"/>
      <w:bookmarkStart w:id="35" w:name="_Toc26986530"/>
      <w:bookmarkStart w:id="36" w:name="_Toc24884211"/>
      <w:r>
        <w:rPr>
          <w:rFonts w:hint="eastAsia"/>
        </w:rPr>
        <w:t>范围</w:t>
      </w:r>
      <w:bookmarkEnd w:id="26"/>
      <w:bookmarkEnd w:id="27"/>
      <w:bookmarkEnd w:id="28"/>
      <w:bookmarkEnd w:id="29"/>
      <w:bookmarkEnd w:id="30"/>
      <w:bookmarkEnd w:id="31"/>
      <w:bookmarkEnd w:id="32"/>
      <w:bookmarkEnd w:id="33"/>
      <w:bookmarkEnd w:id="34"/>
      <w:bookmarkEnd w:id="35"/>
      <w:bookmarkEnd w:id="36"/>
    </w:p>
    <w:p w14:paraId="4B5D509F">
      <w:pPr>
        <w:pStyle w:val="56"/>
        <w:keepNext w:val="0"/>
        <w:keepLines w:val="0"/>
        <w:pageBreakBefore w:val="0"/>
        <w:widowControl/>
        <w:kinsoku/>
        <w:wordWrap/>
        <w:overflowPunct/>
        <w:topLinePunct w:val="0"/>
        <w:autoSpaceDE w:val="0"/>
        <w:autoSpaceDN w:val="0"/>
        <w:bidi w:val="0"/>
        <w:adjustRightInd/>
        <w:snapToGrid/>
        <w:ind w:firstLine="420"/>
        <w:textAlignment w:val="auto"/>
        <w:rPr>
          <w:color w:val="auto"/>
        </w:rPr>
      </w:pPr>
      <w:bookmarkStart w:id="37" w:name="_Toc26648466"/>
      <w:bookmarkStart w:id="38" w:name="_Toc24884212"/>
      <w:bookmarkStart w:id="39" w:name="_Toc17233334"/>
      <w:bookmarkStart w:id="40" w:name="_Toc17233326"/>
      <w:bookmarkStart w:id="41" w:name="_Toc24884219"/>
      <w:r>
        <w:rPr>
          <w:rFonts w:hint="eastAsia" w:ascii="Times New Roman" w:cs="Times New Roman"/>
          <w:color w:val="auto"/>
          <w:sz w:val="21"/>
          <w:szCs w:val="21"/>
          <w:vertAlign w:val="baseline"/>
          <w:lang w:eastAsia="zh-CN"/>
        </w:rPr>
        <w:t>本指南</w:t>
      </w:r>
      <w:r>
        <w:rPr>
          <w:rFonts w:hint="eastAsia" w:ascii="Times New Roman" w:hAnsi="Times New Roman" w:eastAsia="宋体" w:cs="Times New Roman"/>
          <w:color w:val="auto"/>
          <w:sz w:val="21"/>
          <w:szCs w:val="21"/>
          <w:vertAlign w:val="baseline"/>
          <w:lang w:eastAsia="zh-CN"/>
        </w:rPr>
        <w:t>提供</w:t>
      </w:r>
      <w:r>
        <w:rPr>
          <w:rFonts w:hint="eastAsia" w:ascii="Times New Roman" w:hAnsi="Times New Roman" w:eastAsia="宋体" w:cs="Times New Roman"/>
          <w:color w:val="auto"/>
          <w:sz w:val="21"/>
          <w:szCs w:val="21"/>
          <w:vertAlign w:val="baseline"/>
        </w:rPr>
        <w:t>了美丽宜居村</w:t>
      </w:r>
      <w:r>
        <w:rPr>
          <w:rFonts w:hint="eastAsia" w:ascii="Times New Roman" w:hAnsi="Times New Roman" w:eastAsia="宋体" w:cs="Times New Roman"/>
          <w:color w:val="auto"/>
          <w:sz w:val="21"/>
          <w:szCs w:val="21"/>
          <w:vertAlign w:val="baseline"/>
          <w:lang w:eastAsia="zh-CN"/>
        </w:rPr>
        <w:t>建设</w:t>
      </w:r>
      <w:r>
        <w:rPr>
          <w:rFonts w:hint="eastAsia" w:ascii="Times New Roman" w:hAnsi="Times New Roman" w:eastAsia="宋体" w:cs="Times New Roman"/>
          <w:color w:val="auto"/>
          <w:sz w:val="21"/>
          <w:szCs w:val="21"/>
          <w:vertAlign w:val="baseline"/>
        </w:rPr>
        <w:t>的村庄规划、基础设施、人居环境、公共服务、经济产业、乡村治理等</w:t>
      </w:r>
      <w:r>
        <w:rPr>
          <w:rFonts w:hint="eastAsia" w:ascii="Times New Roman" w:hAnsi="Times New Roman" w:eastAsia="宋体" w:cs="Times New Roman"/>
          <w:color w:val="auto"/>
          <w:sz w:val="21"/>
          <w:szCs w:val="21"/>
          <w:vertAlign w:val="baseline"/>
          <w:lang w:eastAsia="zh-CN"/>
        </w:rPr>
        <w:t>指导</w:t>
      </w:r>
      <w:r>
        <w:rPr>
          <w:rFonts w:hint="eastAsia" w:ascii="Times New Roman" w:hAnsi="Times New Roman" w:eastAsia="宋体" w:cs="Times New Roman"/>
          <w:color w:val="auto"/>
          <w:sz w:val="21"/>
          <w:szCs w:val="21"/>
          <w:vertAlign w:val="baseline"/>
        </w:rPr>
        <w:t>。</w:t>
      </w:r>
    </w:p>
    <w:p w14:paraId="6DCAC2C4">
      <w:pPr>
        <w:pStyle w:val="56"/>
        <w:keepNext w:val="0"/>
        <w:keepLines w:val="0"/>
        <w:pageBreakBefore w:val="0"/>
        <w:widowControl/>
        <w:kinsoku/>
        <w:wordWrap/>
        <w:overflowPunct/>
        <w:topLinePunct w:val="0"/>
        <w:autoSpaceDE w:val="0"/>
        <w:autoSpaceDN w:val="0"/>
        <w:bidi w:val="0"/>
        <w:adjustRightInd/>
        <w:snapToGrid/>
        <w:ind w:firstLine="420"/>
        <w:textAlignment w:val="auto"/>
        <w:rPr>
          <w:color w:val="auto"/>
        </w:rPr>
      </w:pPr>
      <w:r>
        <w:rPr>
          <w:rFonts w:hint="eastAsia"/>
          <w:color w:val="auto"/>
          <w:lang w:eastAsia="zh-CN"/>
        </w:rPr>
        <w:t>本指南</w:t>
      </w:r>
      <w:r>
        <w:rPr>
          <w:rFonts w:hint="eastAsia"/>
          <w:color w:val="auto"/>
        </w:rPr>
        <w:t>适用于以行政村为单位的美丽宜居村建设，其他乡村建设可参照使用。</w:t>
      </w:r>
    </w:p>
    <w:p w14:paraId="5B6F0EF9">
      <w:pPr>
        <w:pStyle w:val="104"/>
        <w:keepNext w:val="0"/>
        <w:keepLines w:val="0"/>
        <w:pageBreakBefore w:val="0"/>
        <w:widowControl/>
        <w:kinsoku/>
        <w:wordWrap/>
        <w:overflowPunct/>
        <w:topLinePunct w:val="0"/>
        <w:autoSpaceDE/>
        <w:autoSpaceDN/>
        <w:bidi w:val="0"/>
        <w:adjustRightInd/>
        <w:snapToGrid/>
        <w:spacing w:before="312" w:after="312"/>
        <w:textAlignment w:val="auto"/>
      </w:pPr>
      <w:bookmarkStart w:id="42" w:name="_Toc164062121"/>
      <w:bookmarkStart w:id="43" w:name="_Toc26986772"/>
      <w:bookmarkStart w:id="44" w:name="_Toc97191424"/>
      <w:bookmarkStart w:id="45" w:name="_Toc26450"/>
      <w:bookmarkStart w:id="46" w:name="_Toc26718931"/>
      <w:bookmarkStart w:id="47" w:name="_Toc26986531"/>
      <w:r>
        <w:rPr>
          <w:rFonts w:hint="eastAsia"/>
        </w:rPr>
        <w:t>规范性引用文件</w:t>
      </w:r>
      <w:bookmarkEnd w:id="37"/>
      <w:bookmarkEnd w:id="38"/>
      <w:bookmarkEnd w:id="39"/>
      <w:bookmarkEnd w:id="40"/>
      <w:bookmarkEnd w:id="41"/>
      <w:bookmarkEnd w:id="42"/>
      <w:bookmarkEnd w:id="43"/>
      <w:bookmarkEnd w:id="44"/>
      <w:bookmarkEnd w:id="45"/>
      <w:bookmarkEnd w:id="46"/>
      <w:bookmarkEnd w:id="47"/>
    </w:p>
    <w:p w14:paraId="781404EC">
      <w:pPr>
        <w:pStyle w:val="56"/>
        <w:ind w:firstLine="420"/>
      </w:pPr>
      <w:r>
        <w:rPr>
          <w:rFonts w:hint="eastAsia"/>
        </w:rPr>
        <w:t>下列文件中的内容通过文中的规范性引用而构成本</w:t>
      </w:r>
      <w:r>
        <w:rPr>
          <w:rFonts w:hint="eastAsia"/>
          <w:lang w:val="en-US" w:eastAsia="zh-CN"/>
        </w:rPr>
        <w:t>指南</w:t>
      </w:r>
      <w:r>
        <w:rPr>
          <w:rFonts w:hint="eastAsia"/>
        </w:rPr>
        <w:t>必不可少的条款。其中，注日期的引用文件，仅该日期对应的版本适用于本</w:t>
      </w:r>
      <w:r>
        <w:rPr>
          <w:rFonts w:hint="eastAsia"/>
          <w:lang w:val="en-US" w:eastAsia="zh-CN"/>
        </w:rPr>
        <w:t>指南</w:t>
      </w:r>
      <w:r>
        <w:rPr>
          <w:rFonts w:hint="eastAsia"/>
        </w:rPr>
        <w:t>；不注日期的引用文件，其最新版本（包括所有的修改单）适用于本</w:t>
      </w:r>
      <w:r>
        <w:rPr>
          <w:rFonts w:hint="eastAsia"/>
          <w:lang w:val="en-US" w:eastAsia="zh-CN"/>
        </w:rPr>
        <w:t>指南</w:t>
      </w:r>
      <w:r>
        <w:rPr>
          <w:rFonts w:hint="eastAsia"/>
        </w:rPr>
        <w:t>。</w:t>
      </w:r>
    </w:p>
    <w:p w14:paraId="31013FC9">
      <w:pPr>
        <w:pStyle w:val="56"/>
        <w:ind w:firstLine="420"/>
        <w:rPr>
          <w:color w:val="auto"/>
        </w:rPr>
      </w:pPr>
      <w:r>
        <w:rPr>
          <w:rFonts w:hint="eastAsia"/>
          <w:color w:val="auto"/>
        </w:rPr>
        <w:t xml:space="preserve">GB/T 156 标准电压 </w:t>
      </w:r>
    </w:p>
    <w:p w14:paraId="3F7C370A">
      <w:pPr>
        <w:pStyle w:val="56"/>
        <w:ind w:firstLine="420"/>
        <w:rPr>
          <w:rFonts w:hint="eastAsia" w:ascii="宋体" w:hAnsi="宋体" w:eastAsia="宋体"/>
          <w:color w:val="auto"/>
        </w:rPr>
      </w:pPr>
      <w:r>
        <w:rPr>
          <w:rFonts w:hint="eastAsia" w:ascii="宋体" w:hAnsi="宋体" w:eastAsia="宋体"/>
          <w:color w:val="auto"/>
        </w:rPr>
        <w:t>GB/T 3095</w:t>
      </w:r>
      <w:r>
        <w:rPr>
          <w:rFonts w:hint="eastAsia" w:hAnsi="宋体"/>
          <w:color w:val="auto"/>
          <w:lang w:val="en-US" w:eastAsia="zh-CN"/>
        </w:rPr>
        <w:t xml:space="preserve"> </w:t>
      </w:r>
      <w:r>
        <w:rPr>
          <w:rFonts w:hint="eastAsia" w:ascii="宋体" w:hAnsi="宋体" w:eastAsia="宋体"/>
          <w:color w:val="auto"/>
        </w:rPr>
        <w:t>环境空气质量标准</w:t>
      </w:r>
    </w:p>
    <w:p w14:paraId="0D889291">
      <w:pPr>
        <w:pStyle w:val="56"/>
        <w:ind w:firstLine="420"/>
        <w:rPr>
          <w:rFonts w:hint="eastAsia" w:ascii="宋体" w:hAnsi="宋体" w:eastAsia="宋体"/>
          <w:color w:val="auto"/>
        </w:rPr>
      </w:pPr>
      <w:r>
        <w:rPr>
          <w:rFonts w:hint="eastAsia" w:ascii="宋体" w:hAnsi="宋体" w:eastAsia="宋体"/>
          <w:color w:val="auto"/>
        </w:rPr>
        <w:t>GB/T 3096</w:t>
      </w:r>
      <w:r>
        <w:rPr>
          <w:rFonts w:hint="eastAsia" w:hAnsi="宋体"/>
          <w:color w:val="auto"/>
          <w:lang w:val="en-US" w:eastAsia="zh-CN"/>
        </w:rPr>
        <w:t xml:space="preserve"> </w:t>
      </w:r>
      <w:r>
        <w:rPr>
          <w:rFonts w:hint="eastAsia" w:ascii="宋体" w:hAnsi="宋体" w:eastAsia="宋体"/>
          <w:color w:val="auto"/>
        </w:rPr>
        <w:t>声环境质量标准</w:t>
      </w:r>
    </w:p>
    <w:p w14:paraId="114B2B5C">
      <w:pPr>
        <w:pStyle w:val="56"/>
        <w:ind w:firstLine="420"/>
        <w:rPr>
          <w:rFonts w:hint="eastAsia" w:ascii="宋体" w:hAnsi="宋体" w:eastAsia="宋体"/>
          <w:color w:val="auto"/>
        </w:rPr>
      </w:pPr>
      <w:r>
        <w:rPr>
          <w:rFonts w:hint="eastAsia" w:ascii="宋体" w:hAnsi="宋体" w:eastAsia="宋体"/>
          <w:color w:val="auto"/>
        </w:rPr>
        <w:t>GB/T 3097</w:t>
      </w:r>
      <w:r>
        <w:rPr>
          <w:rFonts w:hint="eastAsia" w:hAnsi="宋体"/>
          <w:color w:val="auto"/>
          <w:lang w:val="en-US" w:eastAsia="zh-CN"/>
        </w:rPr>
        <w:t xml:space="preserve"> </w:t>
      </w:r>
      <w:r>
        <w:rPr>
          <w:rFonts w:hint="eastAsia" w:ascii="宋体" w:hAnsi="宋体" w:eastAsia="宋体"/>
          <w:color w:val="auto"/>
        </w:rPr>
        <w:t>海水水质标准</w:t>
      </w:r>
    </w:p>
    <w:p w14:paraId="72C31380">
      <w:pPr>
        <w:pStyle w:val="56"/>
        <w:ind w:firstLine="420"/>
        <w:rPr>
          <w:rFonts w:hint="eastAsia"/>
          <w:color w:val="auto"/>
        </w:rPr>
      </w:pPr>
      <w:r>
        <w:rPr>
          <w:rFonts w:hint="eastAsia"/>
          <w:color w:val="auto"/>
        </w:rPr>
        <w:t>GB/T 3838</w:t>
      </w:r>
      <w:r>
        <w:rPr>
          <w:rFonts w:hint="eastAsia"/>
          <w:color w:val="auto"/>
          <w:lang w:val="en-US" w:eastAsia="zh-CN"/>
        </w:rPr>
        <w:t xml:space="preserve"> </w:t>
      </w:r>
      <w:r>
        <w:rPr>
          <w:rFonts w:hint="eastAsia"/>
          <w:color w:val="auto"/>
        </w:rPr>
        <w:t>地表水环境质量标准</w:t>
      </w:r>
    </w:p>
    <w:p w14:paraId="02C57FA6">
      <w:pPr>
        <w:pStyle w:val="56"/>
        <w:ind w:firstLine="420"/>
        <w:rPr>
          <w:rFonts w:hint="eastAsia"/>
          <w:color w:val="auto"/>
        </w:rPr>
      </w:pPr>
      <w:r>
        <w:rPr>
          <w:rFonts w:hint="eastAsia"/>
          <w:color w:val="auto"/>
        </w:rPr>
        <w:t>GB 5749 生活饮用水卫生标准</w:t>
      </w:r>
    </w:p>
    <w:p w14:paraId="4FBDFA76">
      <w:pPr>
        <w:pStyle w:val="56"/>
        <w:ind w:firstLine="420"/>
        <w:rPr>
          <w:color w:val="auto"/>
        </w:rPr>
      </w:pPr>
      <w:r>
        <w:rPr>
          <w:rFonts w:hint="eastAsia"/>
          <w:color w:val="auto"/>
        </w:rPr>
        <w:t xml:space="preserve">GB 7959 粪便无害化卫生要求 </w:t>
      </w:r>
    </w:p>
    <w:p w14:paraId="369297A4">
      <w:pPr>
        <w:pStyle w:val="56"/>
        <w:ind w:firstLine="420"/>
        <w:rPr>
          <w:rFonts w:hint="eastAsia" w:ascii="宋体" w:hAnsi="宋体" w:eastAsia="宋体"/>
          <w:color w:val="auto"/>
        </w:rPr>
      </w:pPr>
      <w:r>
        <w:rPr>
          <w:rFonts w:hint="eastAsia" w:ascii="宋体" w:hAnsi="宋体" w:eastAsia="宋体"/>
          <w:color w:val="auto"/>
        </w:rPr>
        <w:t>GB/T 15618土壤环境质量标准</w:t>
      </w:r>
    </w:p>
    <w:p w14:paraId="2F22986C">
      <w:pPr>
        <w:pStyle w:val="56"/>
        <w:ind w:firstLine="420"/>
        <w:rPr>
          <w:rFonts w:hint="eastAsia"/>
          <w:color w:val="auto"/>
        </w:rPr>
      </w:pPr>
      <w:r>
        <w:rPr>
          <w:rFonts w:hint="eastAsia"/>
          <w:color w:val="auto"/>
        </w:rPr>
        <w:t xml:space="preserve">GB 19379 农村户厕卫生规范 </w:t>
      </w:r>
    </w:p>
    <w:p w14:paraId="6D8E4277">
      <w:pPr>
        <w:pStyle w:val="56"/>
        <w:ind w:firstLine="420"/>
        <w:rPr>
          <w:rFonts w:hint="eastAsia"/>
          <w:color w:val="auto"/>
        </w:rPr>
      </w:pPr>
      <w:r>
        <w:rPr>
          <w:rFonts w:hint="eastAsia"/>
          <w:color w:val="auto"/>
        </w:rPr>
        <w:t>GB/T 27774</w:t>
      </w:r>
      <w:r>
        <w:rPr>
          <w:rFonts w:hint="eastAsia"/>
          <w:color w:val="auto"/>
          <w:lang w:val="en-US" w:eastAsia="zh-CN"/>
        </w:rPr>
        <w:t xml:space="preserve"> </w:t>
      </w:r>
      <w:r>
        <w:rPr>
          <w:rFonts w:hint="eastAsia"/>
          <w:color w:val="auto"/>
        </w:rPr>
        <w:t>病媒生物应急监测与控制 通则</w:t>
      </w:r>
    </w:p>
    <w:p w14:paraId="1ADBF0CA">
      <w:pPr>
        <w:pStyle w:val="56"/>
        <w:ind w:firstLine="420"/>
        <w:rPr>
          <w:color w:val="auto"/>
        </w:rPr>
      </w:pPr>
      <w:r>
        <w:rPr>
          <w:rFonts w:hint="eastAsia"/>
          <w:color w:val="auto"/>
        </w:rPr>
        <w:t xml:space="preserve">GB/T 38353 农村公共厕所建设与管理规范 </w:t>
      </w:r>
    </w:p>
    <w:p w14:paraId="7D02E55D">
      <w:pPr>
        <w:pStyle w:val="56"/>
        <w:ind w:firstLine="420"/>
        <w:rPr>
          <w:color w:val="auto"/>
        </w:rPr>
      </w:pPr>
      <w:r>
        <w:rPr>
          <w:rFonts w:hint="eastAsia"/>
          <w:color w:val="auto"/>
        </w:rPr>
        <w:t>GB/T 38354 农村电子商务服务站（点）服务与管理规范</w:t>
      </w:r>
    </w:p>
    <w:p w14:paraId="76D7EBA4">
      <w:pPr>
        <w:pStyle w:val="56"/>
        <w:ind w:firstLine="420"/>
        <w:rPr>
          <w:color w:val="auto"/>
        </w:rPr>
      </w:pPr>
      <w:r>
        <w:rPr>
          <w:rFonts w:hint="eastAsia"/>
          <w:color w:val="auto"/>
        </w:rPr>
        <w:t xml:space="preserve">GB/T 38699 村级公共服务中心建设与管理规范 </w:t>
      </w:r>
    </w:p>
    <w:p w14:paraId="5855BACA">
      <w:pPr>
        <w:pStyle w:val="56"/>
        <w:ind w:firstLine="420"/>
        <w:rPr>
          <w:color w:val="auto"/>
        </w:rPr>
      </w:pPr>
      <w:r>
        <w:rPr>
          <w:rFonts w:hint="eastAsia"/>
          <w:color w:val="auto"/>
        </w:rPr>
        <w:t xml:space="preserve">GB/T 38837 农村三格式户厕运行维护规范 </w:t>
      </w:r>
    </w:p>
    <w:p w14:paraId="6784E82C">
      <w:pPr>
        <w:pStyle w:val="56"/>
        <w:ind w:firstLine="420"/>
        <w:rPr>
          <w:rFonts w:hint="default" w:ascii="Times New Roman" w:hAnsi="Times New Roman" w:eastAsia="宋体" w:cs="Times New Roman"/>
          <w:color w:val="auto"/>
          <w:sz w:val="21"/>
          <w:szCs w:val="21"/>
          <w:vertAlign w:val="baseline"/>
          <w:lang w:val="en-US" w:eastAsia="zh-CN"/>
        </w:rPr>
      </w:pPr>
      <w:r>
        <w:rPr>
          <w:rFonts w:hint="eastAsia" w:ascii="宋体" w:eastAsia="宋体"/>
          <w:color w:val="auto"/>
          <w:lang w:val="en-US" w:eastAsia="zh-CN"/>
        </w:rPr>
        <w:t xml:space="preserve">GB/T 41375 </w:t>
      </w:r>
      <w:r>
        <w:rPr>
          <w:rFonts w:hint="eastAsia" w:ascii="Times New Roman" w:eastAsia="宋体" w:cs="Times New Roman"/>
          <w:color w:val="auto"/>
          <w:sz w:val="21"/>
          <w:szCs w:val="21"/>
          <w:vertAlign w:val="baseline"/>
          <w:lang w:val="en-US" w:eastAsia="zh-CN"/>
        </w:rPr>
        <w:t>农村文化活动中心建设与服务规范</w:t>
      </w:r>
    </w:p>
    <w:p w14:paraId="5AB9C564">
      <w:pPr>
        <w:pStyle w:val="56"/>
        <w:ind w:firstLine="420"/>
        <w:rPr>
          <w:color w:val="auto"/>
        </w:rPr>
      </w:pPr>
      <w:r>
        <w:rPr>
          <w:rFonts w:hint="eastAsia"/>
          <w:color w:val="auto"/>
        </w:rPr>
        <w:t>GB/T 41409 村级公共服务中心服务规范</w:t>
      </w:r>
    </w:p>
    <w:p w14:paraId="7DD2CF79">
      <w:pPr>
        <w:pStyle w:val="56"/>
        <w:ind w:firstLine="420"/>
        <w:rPr>
          <w:color w:val="auto"/>
        </w:rPr>
      </w:pPr>
      <w:r>
        <w:rPr>
          <w:rFonts w:hint="eastAsia"/>
          <w:color w:val="auto"/>
        </w:rPr>
        <w:t>GB/T 43824 村镇供水工程技术规范</w:t>
      </w:r>
    </w:p>
    <w:p w14:paraId="11B0D6A5">
      <w:pPr>
        <w:pStyle w:val="56"/>
        <w:ind w:firstLine="420"/>
        <w:rPr>
          <w:rFonts w:hint="eastAsia"/>
          <w:color w:val="auto"/>
        </w:rPr>
      </w:pPr>
      <w:r>
        <w:rPr>
          <w:rFonts w:hint="eastAsia"/>
          <w:color w:val="auto"/>
        </w:rPr>
        <w:t>GB</w:t>
      </w:r>
      <w:r>
        <w:rPr>
          <w:rFonts w:hint="eastAsia"/>
          <w:color w:val="auto"/>
          <w:lang w:val="en-US" w:eastAsia="zh-CN"/>
        </w:rPr>
        <w:t xml:space="preserve"> </w:t>
      </w:r>
      <w:r>
        <w:rPr>
          <w:rFonts w:hint="eastAsia"/>
          <w:color w:val="auto"/>
        </w:rPr>
        <w:t>50014</w:t>
      </w:r>
      <w:r>
        <w:rPr>
          <w:rFonts w:hint="eastAsia"/>
          <w:color w:val="auto"/>
          <w:lang w:val="en-US" w:eastAsia="zh-CN"/>
        </w:rPr>
        <w:t xml:space="preserve"> </w:t>
      </w:r>
      <w:r>
        <w:rPr>
          <w:rFonts w:hint="eastAsia"/>
          <w:color w:val="auto"/>
        </w:rPr>
        <w:t> 室外排水设计规范</w:t>
      </w:r>
    </w:p>
    <w:p w14:paraId="058F45C1">
      <w:pPr>
        <w:pStyle w:val="56"/>
        <w:ind w:firstLine="420"/>
        <w:rPr>
          <w:color w:val="auto"/>
        </w:rPr>
      </w:pPr>
      <w:r>
        <w:rPr>
          <w:rFonts w:hint="eastAsia"/>
          <w:color w:val="auto"/>
        </w:rPr>
        <w:t>GB 50039 农村防火规范</w:t>
      </w:r>
    </w:p>
    <w:p w14:paraId="3E82126C">
      <w:pPr>
        <w:pStyle w:val="65"/>
        <w:keepNext w:val="0"/>
        <w:keepLines w:val="0"/>
        <w:pageBreakBefore w:val="0"/>
        <w:widowControl w:val="0"/>
        <w:numPr>
          <w:ilvl w:val="3"/>
          <w:numId w:val="0"/>
        </w:numPr>
        <w:kinsoku/>
        <w:wordWrap/>
        <w:overflowPunct/>
        <w:topLinePunct w:val="0"/>
        <w:autoSpaceDE/>
        <w:autoSpaceDN/>
        <w:bidi w:val="0"/>
        <w:adjustRightInd/>
        <w:snapToGrid/>
        <w:spacing w:before="0" w:beforeLines="0" w:after="0" w:afterLines="0"/>
        <w:ind w:firstLine="420" w:firstLineChars="200"/>
        <w:textAlignment w:val="auto"/>
        <w:rPr>
          <w:rFonts w:ascii="宋体" w:hAnsi="宋体" w:eastAsia="宋体"/>
          <w:color w:val="auto"/>
        </w:rPr>
      </w:pPr>
      <w:r>
        <w:rPr>
          <w:rFonts w:ascii="Arial" w:hAnsi="Arial" w:eastAsia="Arial" w:cs="Arial"/>
          <w:i w:val="0"/>
          <w:iCs w:val="0"/>
          <w:caps w:val="0"/>
          <w:color w:val="auto"/>
          <w:spacing w:val="0"/>
          <w:sz w:val="21"/>
          <w:szCs w:val="21"/>
          <w:shd w:val="clear" w:fill="FFFFFF"/>
        </w:rPr>
        <w:t>JGJ</w:t>
      </w:r>
      <w:r>
        <w:rPr>
          <w:rFonts w:hint="eastAsia" w:ascii="Arial" w:hAnsi="Arial" w:eastAsia="宋体" w:cs="Arial"/>
          <w:i w:val="0"/>
          <w:iCs w:val="0"/>
          <w:caps w:val="0"/>
          <w:color w:val="auto"/>
          <w:spacing w:val="0"/>
          <w:sz w:val="21"/>
          <w:szCs w:val="21"/>
          <w:shd w:val="clear" w:fill="FFFFFF"/>
          <w:lang w:val="en-US" w:eastAsia="zh-CN"/>
        </w:rPr>
        <w:t xml:space="preserve"> </w:t>
      </w:r>
      <w:r>
        <w:rPr>
          <w:rFonts w:ascii="Arial" w:hAnsi="Arial" w:eastAsia="Arial" w:cs="Arial"/>
          <w:i w:val="0"/>
          <w:iCs w:val="0"/>
          <w:caps w:val="0"/>
          <w:color w:val="auto"/>
          <w:spacing w:val="0"/>
          <w:sz w:val="21"/>
          <w:szCs w:val="21"/>
          <w:shd w:val="clear" w:fill="FFFFFF"/>
        </w:rPr>
        <w:t>450</w:t>
      </w:r>
      <w:r>
        <w:rPr>
          <w:rFonts w:hint="eastAsia" w:ascii="Arial" w:hAnsi="Arial" w:eastAsia="宋体" w:cs="Arial"/>
          <w:i w:val="0"/>
          <w:iCs w:val="0"/>
          <w:caps w:val="0"/>
          <w:color w:val="auto"/>
          <w:spacing w:val="0"/>
          <w:sz w:val="21"/>
          <w:szCs w:val="21"/>
          <w:shd w:val="clear" w:fill="FFFFFF"/>
          <w:lang w:val="en-US" w:eastAsia="zh-CN"/>
        </w:rPr>
        <w:t xml:space="preserve"> </w:t>
      </w:r>
      <w:r>
        <w:rPr>
          <w:rFonts w:ascii="Arial" w:hAnsi="Arial" w:eastAsia="Arial" w:cs="Arial"/>
          <w:i w:val="0"/>
          <w:iCs w:val="0"/>
          <w:caps w:val="0"/>
          <w:color w:val="auto"/>
          <w:spacing w:val="0"/>
          <w:sz w:val="21"/>
          <w:szCs w:val="21"/>
          <w:shd w:val="clear" w:fill="FFFFFF"/>
        </w:rPr>
        <w:t>老年人照料设施建筑设计标准‌‌</w:t>
      </w:r>
    </w:p>
    <w:p w14:paraId="03C37348">
      <w:pPr>
        <w:pStyle w:val="56"/>
        <w:ind w:firstLine="420"/>
        <w:rPr>
          <w:color w:val="auto"/>
        </w:rPr>
      </w:pPr>
      <w:r>
        <w:rPr>
          <w:rFonts w:hint="eastAsia"/>
          <w:color w:val="auto"/>
        </w:rPr>
        <w:t>LY/T 2645 乡村绿化技术规程</w:t>
      </w:r>
    </w:p>
    <w:p w14:paraId="20A5ED5F">
      <w:pPr>
        <w:pStyle w:val="56"/>
        <w:ind w:firstLine="420"/>
        <w:rPr>
          <w:color w:val="auto"/>
        </w:rPr>
      </w:pPr>
      <w:r>
        <w:rPr>
          <w:rFonts w:hint="eastAsia"/>
          <w:color w:val="auto"/>
        </w:rPr>
        <w:t xml:space="preserve">DL 493 农村低压安全用电规程 </w:t>
      </w:r>
    </w:p>
    <w:p w14:paraId="4CEF5752">
      <w:pPr>
        <w:pStyle w:val="56"/>
        <w:ind w:firstLine="420"/>
        <w:rPr>
          <w:color w:val="auto"/>
        </w:rPr>
      </w:pPr>
      <w:r>
        <w:rPr>
          <w:rFonts w:hint="eastAsia"/>
          <w:color w:val="auto"/>
        </w:rPr>
        <w:t xml:space="preserve">DL/T 5118 农村电力网规划设计导则 </w:t>
      </w:r>
    </w:p>
    <w:p w14:paraId="5514E5B7">
      <w:pPr>
        <w:pStyle w:val="104"/>
        <w:spacing w:before="312" w:after="312"/>
      </w:pPr>
      <w:bookmarkStart w:id="48" w:name="_Toc97191425"/>
      <w:bookmarkStart w:id="49" w:name="_Toc164062122"/>
      <w:bookmarkStart w:id="50" w:name="_Toc17645"/>
      <w:r>
        <w:rPr>
          <w:rFonts w:hint="eastAsia"/>
          <w:szCs w:val="21"/>
        </w:rPr>
        <w:t>术语和定义</w:t>
      </w:r>
      <w:bookmarkEnd w:id="48"/>
      <w:bookmarkEnd w:id="49"/>
      <w:bookmarkEnd w:id="50"/>
    </w:p>
    <w:sdt>
      <w:sdtPr>
        <w:rPr>
          <w:rFonts w:hint="eastAsia"/>
        </w:rPr>
        <w:id w:val="-1909835108"/>
        <w:placeholder>
          <w:docPart w:val="DA2E36E6FA0B484BAB8FA1F971FE9E4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14:paraId="6F8F0098">
          <w:pPr>
            <w:pStyle w:val="56"/>
            <w:ind w:firstLine="420"/>
          </w:pPr>
          <w:bookmarkStart w:id="51" w:name="_Toc26986532"/>
          <w:bookmarkEnd w:id="51"/>
          <w:r>
            <w:rPr>
              <w:rFonts w:hint="eastAsia"/>
            </w:rPr>
            <w:t>下列术语和定义适用于</w:t>
          </w:r>
          <w:r>
            <w:rPr>
              <w:rFonts w:hint="eastAsia"/>
              <w:lang w:eastAsia="zh-CN"/>
            </w:rPr>
            <w:t>本指南</w:t>
          </w:r>
          <w:r>
            <w:rPr>
              <w:rFonts w:hint="eastAsia"/>
            </w:rPr>
            <w:t>。</w:t>
          </w:r>
        </w:p>
      </w:sdtContent>
    </w:sdt>
    <w:p w14:paraId="6AE564D6">
      <w:pPr>
        <w:pStyle w:val="105"/>
        <w:spacing w:before="156" w:after="156"/>
      </w:pPr>
      <w:bookmarkStart w:id="52" w:name="_Toc17093"/>
      <w:r>
        <w:rPr>
          <w:rFonts w:hint="eastAsia"/>
        </w:rPr>
        <w:t>美丽宜居村</w:t>
      </w:r>
      <w:bookmarkEnd w:id="52"/>
    </w:p>
    <w:p w14:paraId="1428D281">
      <w:pPr>
        <w:pStyle w:val="56"/>
        <w:ind w:firstLine="420"/>
      </w:pPr>
      <w:r>
        <w:rPr>
          <w:rFonts w:hint="eastAsia"/>
        </w:rPr>
        <w:t>生态本底良好、村容村貌优美、设施配套完善、治理体系健全、宜居宜业的可持续发展乡村。</w:t>
      </w:r>
    </w:p>
    <w:p w14:paraId="16A30C82">
      <w:pPr>
        <w:pStyle w:val="104"/>
        <w:spacing w:before="312" w:after="312"/>
      </w:pPr>
      <w:bookmarkStart w:id="53" w:name="_Toc8884"/>
      <w:r>
        <w:rPr>
          <w:rFonts w:hint="eastAsia"/>
        </w:rPr>
        <w:t>总则</w:t>
      </w:r>
      <w:bookmarkEnd w:id="53"/>
    </w:p>
    <w:p w14:paraId="7111FAB7">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宋体" w:hAnsi="宋体" w:eastAsia="宋体"/>
          <w:color w:val="auto"/>
        </w:rPr>
      </w:pPr>
      <w:bookmarkStart w:id="54" w:name="_Toc164952601"/>
      <w:r>
        <w:rPr>
          <w:rFonts w:hint="eastAsia" w:ascii="宋体" w:hAnsi="宋体" w:eastAsia="宋体"/>
          <w:color w:val="auto"/>
        </w:rPr>
        <w:t>坚持因地制宜，分类指导。顺应乡村发展规律，与当地经济发展水平相适应，与当地文化、风土人情相协调，结合</w:t>
      </w:r>
      <w:r>
        <w:rPr>
          <w:rFonts w:hint="eastAsia" w:ascii="宋体" w:hAnsi="宋体" w:eastAsia="宋体" w:cs="宋体"/>
          <w:color w:val="auto"/>
          <w:sz w:val="21"/>
          <w:szCs w:val="21"/>
          <w:highlight w:val="none"/>
        </w:rPr>
        <w:t>农村居民</w:t>
      </w:r>
      <w:r>
        <w:rPr>
          <w:rFonts w:hint="eastAsia" w:ascii="宋体" w:hAnsi="宋体" w:eastAsia="宋体"/>
          <w:color w:val="auto"/>
        </w:rPr>
        <w:t>实际需求，分区分类明确建设目标任务，避免无效投入、造成浪费。</w:t>
      </w:r>
      <w:bookmarkEnd w:id="54"/>
    </w:p>
    <w:p w14:paraId="6DBBDDAA">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宋体" w:hAnsi="宋体" w:eastAsia="宋体"/>
          <w:color w:val="auto"/>
        </w:rPr>
      </w:pPr>
      <w:bookmarkStart w:id="55" w:name="_Toc164952602"/>
      <w:r>
        <w:rPr>
          <w:rFonts w:hint="eastAsia" w:ascii="宋体" w:hAnsi="宋体" w:eastAsia="宋体"/>
          <w:color w:val="auto"/>
        </w:rPr>
        <w:t>坚持规划先行，统筹推进。合理安排村庄建设时序，先规划后建设，乡村建设与乡村产业发展、乡风文明进步等互促互进。</w:t>
      </w:r>
      <w:bookmarkEnd w:id="55"/>
    </w:p>
    <w:p w14:paraId="56F0625F">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宋体" w:hAnsi="宋体" w:eastAsia="宋体"/>
          <w:color w:val="auto"/>
        </w:rPr>
      </w:pPr>
      <w:bookmarkStart w:id="56" w:name="_Toc164952603"/>
      <w:r>
        <w:rPr>
          <w:rFonts w:hint="eastAsia" w:ascii="宋体" w:hAnsi="宋体" w:eastAsia="宋体"/>
          <w:color w:val="auto"/>
        </w:rPr>
        <w:t>坚持</w:t>
      </w:r>
      <w:r>
        <w:rPr>
          <w:rFonts w:hint="eastAsia" w:ascii="宋体" w:hAnsi="宋体" w:eastAsia="宋体"/>
          <w:color w:val="auto"/>
          <w:lang w:eastAsia="zh-CN"/>
        </w:rPr>
        <w:t>农村居民</w:t>
      </w:r>
      <w:r>
        <w:rPr>
          <w:rFonts w:hint="eastAsia" w:ascii="宋体" w:hAnsi="宋体" w:eastAsia="宋体"/>
          <w:color w:val="auto"/>
        </w:rPr>
        <w:t>主体，政府引导。坚持为</w:t>
      </w:r>
      <w:r>
        <w:rPr>
          <w:rFonts w:hint="eastAsia" w:ascii="宋体" w:hAnsi="宋体" w:eastAsia="宋体"/>
          <w:color w:val="auto"/>
          <w:lang w:eastAsia="zh-CN"/>
        </w:rPr>
        <w:t>农村居民</w:t>
      </w:r>
      <w:r>
        <w:rPr>
          <w:rFonts w:hint="eastAsia" w:ascii="宋体" w:hAnsi="宋体" w:eastAsia="宋体"/>
          <w:color w:val="auto"/>
        </w:rPr>
        <w:t>而建，充分尊重</w:t>
      </w:r>
      <w:r>
        <w:rPr>
          <w:rFonts w:hint="eastAsia" w:ascii="宋体" w:hAnsi="宋体" w:eastAsia="宋体"/>
          <w:color w:val="auto"/>
          <w:lang w:eastAsia="zh-CN"/>
        </w:rPr>
        <w:t>农村居民</w:t>
      </w:r>
      <w:r>
        <w:rPr>
          <w:rFonts w:hint="eastAsia" w:ascii="宋体" w:hAnsi="宋体" w:eastAsia="宋体"/>
          <w:color w:val="auto"/>
        </w:rPr>
        <w:t>意愿，发挥政府在规划引导、政策支持、组织保障等方面作用，保障</w:t>
      </w:r>
      <w:r>
        <w:rPr>
          <w:rFonts w:hint="eastAsia" w:ascii="宋体" w:hAnsi="宋体" w:eastAsia="宋体"/>
          <w:color w:val="auto"/>
          <w:lang w:eastAsia="zh-CN"/>
        </w:rPr>
        <w:t>农村居民</w:t>
      </w:r>
      <w:r>
        <w:rPr>
          <w:rFonts w:hint="eastAsia" w:ascii="宋体" w:hAnsi="宋体" w:eastAsia="宋体"/>
          <w:color w:val="auto"/>
        </w:rPr>
        <w:t>参与权、决策权和监督权。</w:t>
      </w:r>
      <w:bookmarkEnd w:id="56"/>
    </w:p>
    <w:p w14:paraId="3F3C006C">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宋体" w:hAnsi="宋体" w:eastAsia="宋体"/>
          <w:color w:val="auto"/>
        </w:rPr>
      </w:pPr>
      <w:bookmarkStart w:id="57" w:name="_Toc164952604"/>
      <w:r>
        <w:rPr>
          <w:rFonts w:hint="eastAsia" w:ascii="宋体" w:hAnsi="宋体" w:eastAsia="宋体"/>
          <w:color w:val="auto"/>
        </w:rPr>
        <w:t>坚持建管并重，长效运行。先建机制、后建工程，统筹推进农村公共基础设施建设与管护，确保各类设施建成并长期稳定运行。</w:t>
      </w:r>
      <w:bookmarkEnd w:id="57"/>
    </w:p>
    <w:p w14:paraId="6B782D8B">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宋体" w:hAnsi="宋体" w:eastAsia="宋体"/>
          <w:color w:val="auto"/>
        </w:rPr>
      </w:pPr>
      <w:bookmarkStart w:id="58" w:name="_Toc164952605"/>
      <w:r>
        <w:rPr>
          <w:rFonts w:hint="eastAsia" w:ascii="宋体" w:hAnsi="宋体" w:eastAsia="宋体"/>
          <w:color w:val="auto"/>
        </w:rPr>
        <w:t>坚持生态优先，绿色发展。树立绿色低碳理念，</w:t>
      </w:r>
      <w:r>
        <w:rPr>
          <w:rFonts w:hint="eastAsia" w:ascii="Times New Roman" w:hAnsi="Times New Roman" w:eastAsia="宋体" w:cs="Times New Roman"/>
          <w:color w:val="auto"/>
          <w:sz w:val="21"/>
          <w:szCs w:val="21"/>
          <w:vertAlign w:val="baseline"/>
        </w:rPr>
        <w:t>促进资源节约集约循环利用</w:t>
      </w:r>
      <w:r>
        <w:rPr>
          <w:rFonts w:hint="eastAsia" w:ascii="宋体" w:hAnsi="宋体" w:eastAsia="宋体"/>
          <w:color w:val="auto"/>
        </w:rPr>
        <w:t>，持续推进乡村生产生活方式绿色转型。</w:t>
      </w:r>
      <w:bookmarkEnd w:id="58"/>
    </w:p>
    <w:p w14:paraId="25482AA8">
      <w:pPr>
        <w:pStyle w:val="104"/>
        <w:spacing w:before="312" w:after="312"/>
        <w:rPr>
          <w:color w:val="auto"/>
        </w:rPr>
      </w:pPr>
      <w:bookmarkStart w:id="59" w:name="_Toc24116"/>
      <w:r>
        <w:rPr>
          <w:rFonts w:hint="eastAsia"/>
          <w:color w:val="auto"/>
        </w:rPr>
        <w:t>村庄规划</w:t>
      </w:r>
      <w:bookmarkEnd w:id="59"/>
    </w:p>
    <w:p w14:paraId="03003804">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按照“多规合一”要求，以一个或几个行政村为单元编制实用性村庄规划。</w:t>
      </w:r>
      <w:r>
        <w:rPr>
          <w:rFonts w:hint="eastAsia" w:ascii="Times New Roman" w:hAnsi="Times New Roman" w:eastAsia="宋体" w:cs="Times New Roman"/>
          <w:color w:val="auto"/>
          <w:sz w:val="21"/>
          <w:szCs w:val="21"/>
          <w:vertAlign w:val="baseline"/>
        </w:rPr>
        <w:t>历史文化明村和传统村落应编制相关专项保护规划</w:t>
      </w:r>
      <w:r>
        <w:rPr>
          <w:rFonts w:hint="eastAsia" w:ascii="Times New Roman" w:eastAsia="宋体" w:cs="Times New Roman"/>
          <w:color w:val="auto"/>
          <w:sz w:val="21"/>
          <w:szCs w:val="21"/>
          <w:vertAlign w:val="baseline"/>
          <w:lang w:eastAsia="zh-CN"/>
        </w:rPr>
        <w:t>。</w:t>
      </w:r>
    </w:p>
    <w:p w14:paraId="013649D5">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default" w:ascii="Times New Roman" w:hAnsi="Times New Roman" w:eastAsia="宋体" w:cs="Times New Roman"/>
          <w:color w:val="auto"/>
          <w:sz w:val="21"/>
          <w:szCs w:val="21"/>
          <w:vertAlign w:val="baseline"/>
          <w:lang w:val="en-US" w:eastAsia="zh-CN"/>
        </w:rPr>
        <w:t>村庄规划应符合上位国土空间总体规划</w:t>
      </w:r>
      <w:r>
        <w:rPr>
          <w:rFonts w:hint="eastAsia" w:ascii="Times New Roman" w:eastAsia="宋体" w:cs="Times New Roman"/>
          <w:color w:val="auto"/>
          <w:sz w:val="21"/>
          <w:szCs w:val="21"/>
          <w:vertAlign w:val="baseline"/>
          <w:lang w:val="en-US" w:eastAsia="zh-CN"/>
        </w:rPr>
        <w:t>，</w:t>
      </w:r>
      <w:r>
        <w:rPr>
          <w:rFonts w:hint="default" w:ascii="Times New Roman" w:hAnsi="Times New Roman" w:eastAsia="宋体" w:cs="Times New Roman"/>
          <w:color w:val="auto"/>
          <w:sz w:val="21"/>
          <w:szCs w:val="21"/>
          <w:vertAlign w:val="baseline"/>
          <w:lang w:val="en-US" w:eastAsia="zh-CN"/>
        </w:rPr>
        <w:t>并与相关专项规划做好衔接。</w:t>
      </w:r>
      <w:r>
        <w:rPr>
          <w:rFonts w:hint="eastAsia" w:ascii="宋体" w:hAnsi="宋体" w:eastAsia="宋体"/>
          <w:color w:val="auto"/>
        </w:rPr>
        <w:t>充分考虑村庄现实情况和未来发展需求，明确村庄功能定位、产业发展、空间布局、设施配套、生态保护和历史文化传承等，为</w:t>
      </w:r>
      <w:r>
        <w:rPr>
          <w:rFonts w:hint="eastAsia" w:ascii="宋体" w:hAnsi="宋体" w:eastAsia="宋体"/>
          <w:color w:val="auto"/>
          <w:lang w:val="en-US" w:eastAsia="zh-CN"/>
        </w:rPr>
        <w:t>村庄</w:t>
      </w:r>
      <w:r>
        <w:rPr>
          <w:rFonts w:hint="eastAsia" w:ascii="宋体" w:hAnsi="宋体" w:eastAsia="宋体"/>
          <w:color w:val="auto"/>
        </w:rPr>
        <w:t>各类开发、保护、建设、管理提供依据和指导。</w:t>
      </w:r>
    </w:p>
    <w:p w14:paraId="0A6388E9">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村庄规划</w:t>
      </w:r>
      <w:r>
        <w:rPr>
          <w:rFonts w:hint="eastAsia" w:ascii="宋体" w:hAnsi="宋体" w:eastAsia="宋体"/>
          <w:color w:val="auto"/>
          <w:lang w:eastAsia="zh-CN"/>
        </w:rPr>
        <w:t>宜</w:t>
      </w:r>
      <w:r>
        <w:rPr>
          <w:rFonts w:hint="eastAsia" w:ascii="宋体" w:hAnsi="宋体" w:eastAsia="宋体"/>
          <w:color w:val="auto"/>
        </w:rPr>
        <w:t>体现全域全要素和地域特色，优化各类用地布局，提高土地节约集约利用水平，满足</w:t>
      </w:r>
      <w:r>
        <w:rPr>
          <w:rFonts w:hint="eastAsia" w:ascii="宋体" w:hAnsi="宋体" w:eastAsia="宋体"/>
          <w:color w:val="auto"/>
          <w:lang w:eastAsia="zh-CN"/>
        </w:rPr>
        <w:t>居住用地、</w:t>
      </w:r>
      <w:r>
        <w:rPr>
          <w:rFonts w:hint="eastAsia" w:ascii="宋体" w:hAnsi="宋体" w:eastAsia="宋体"/>
          <w:color w:val="auto"/>
        </w:rPr>
        <w:t>乡村产业和基础设施用地合理需求，建设用地宜相对集中、功能复合。</w:t>
      </w:r>
    </w:p>
    <w:p w14:paraId="6C607A03">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适度保持规划弹性，预留村庄发展及产业导入空间。</w:t>
      </w:r>
    </w:p>
    <w:p w14:paraId="40380BF9">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宋体" w:hAnsi="宋体" w:eastAsia="宋体"/>
          <w:color w:val="auto"/>
        </w:rPr>
      </w:pPr>
      <w:r>
        <w:rPr>
          <w:rFonts w:hint="eastAsia" w:ascii="宋体" w:hAnsi="宋体" w:eastAsia="宋体"/>
          <w:color w:val="auto"/>
        </w:rPr>
        <w:t>规划编制</w:t>
      </w:r>
      <w:r>
        <w:rPr>
          <w:rFonts w:hint="eastAsia" w:ascii="宋体" w:hAnsi="宋体" w:eastAsia="宋体"/>
          <w:color w:val="auto"/>
          <w:lang w:eastAsia="zh-CN"/>
        </w:rPr>
        <w:t>宜</w:t>
      </w:r>
      <w:r>
        <w:rPr>
          <w:rFonts w:hint="eastAsia" w:ascii="宋体" w:hAnsi="宋体" w:eastAsia="宋体"/>
          <w:color w:val="auto"/>
        </w:rPr>
        <w:t>深入实地调查，充分征求村民意见，规划成果通过村民委员会审议后，需召开村民会议或村民代表会议讨论通过，规划总平面图及相关内容</w:t>
      </w:r>
      <w:r>
        <w:rPr>
          <w:rFonts w:hint="eastAsia" w:ascii="宋体" w:hAnsi="宋体" w:eastAsia="宋体"/>
          <w:color w:val="auto"/>
          <w:lang w:eastAsia="zh-CN"/>
        </w:rPr>
        <w:t>宜</w:t>
      </w:r>
      <w:r>
        <w:rPr>
          <w:rFonts w:hint="eastAsia" w:ascii="宋体" w:hAnsi="宋体" w:eastAsia="宋体"/>
          <w:color w:val="auto"/>
        </w:rPr>
        <w:t>在村庄显著位置公示。</w:t>
      </w:r>
    </w:p>
    <w:p w14:paraId="0F983FBD">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Times New Roman"/>
          <w:color w:val="auto"/>
          <w:sz w:val="21"/>
          <w:szCs w:val="21"/>
          <w:vertAlign w:val="baseline"/>
        </w:rPr>
      </w:pPr>
      <w:r>
        <w:rPr>
          <w:rFonts w:hint="eastAsia" w:ascii="Times New Roman" w:hAnsi="Times New Roman" w:eastAsia="宋体" w:cs="Times New Roman"/>
          <w:color w:val="auto"/>
          <w:sz w:val="21"/>
          <w:szCs w:val="21"/>
          <w:vertAlign w:val="baseline"/>
        </w:rPr>
        <w:t>村庄规划如确需改动的，村民委员会提出村庄规划修改需求，乡镇政府(街道办事处)认为确有必要修改的，向县/区自然资源局局提出村庄规划修编书面申请，修编后的成果需经村民会议或村民代表会议讨论通过</w:t>
      </w:r>
      <w:r>
        <w:rPr>
          <w:rFonts w:hint="eastAsia" w:ascii="Times New Roman" w:hAnsi="Times New Roman" w:eastAsia="宋体" w:cs="Times New Roman"/>
          <w:color w:val="auto"/>
          <w:sz w:val="21"/>
          <w:szCs w:val="21"/>
          <w:vertAlign w:val="baseline"/>
          <w:lang w:val="en-US" w:eastAsia="zh-CN"/>
        </w:rPr>
        <w:t>，报原审批机关批准。</w:t>
      </w:r>
    </w:p>
    <w:p w14:paraId="06E9238E">
      <w:pPr>
        <w:pStyle w:val="104"/>
        <w:spacing w:before="312" w:after="312"/>
        <w:rPr>
          <w:color w:val="auto"/>
        </w:rPr>
      </w:pPr>
      <w:bookmarkStart w:id="60" w:name="_Toc8891"/>
      <w:r>
        <w:rPr>
          <w:rFonts w:hint="eastAsia"/>
          <w:color w:val="auto"/>
        </w:rPr>
        <w:t>基础设施</w:t>
      </w:r>
      <w:bookmarkEnd w:id="60"/>
    </w:p>
    <w:p w14:paraId="042DB16C">
      <w:pPr>
        <w:pStyle w:val="105"/>
        <w:spacing w:before="156" w:after="156"/>
        <w:rPr>
          <w:color w:val="auto"/>
        </w:rPr>
      </w:pPr>
      <w:bookmarkStart w:id="61" w:name="_Toc5439"/>
      <w:r>
        <w:rPr>
          <w:rFonts w:hint="eastAsia"/>
          <w:color w:val="auto"/>
        </w:rPr>
        <w:t>道路交通</w:t>
      </w:r>
      <w:bookmarkEnd w:id="61"/>
    </w:p>
    <w:p w14:paraId="3CC487A7">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lang w:val="en-US" w:eastAsia="zh-CN"/>
        </w:rPr>
        <w:t>村庄</w:t>
      </w:r>
      <w:r>
        <w:rPr>
          <w:rFonts w:hint="eastAsia" w:ascii="宋体" w:hAnsi="宋体" w:eastAsia="宋体"/>
          <w:color w:val="auto"/>
        </w:rPr>
        <w:t>道路</w:t>
      </w:r>
      <w:r>
        <w:rPr>
          <w:rFonts w:hint="eastAsia" w:ascii="Times New Roman" w:hAnsi="Times New Roman" w:eastAsia="宋体" w:cs="Times New Roman"/>
          <w:color w:val="auto"/>
          <w:sz w:val="21"/>
          <w:szCs w:val="21"/>
          <w:vertAlign w:val="baseline"/>
          <w:lang w:eastAsia="zh-CN"/>
        </w:rPr>
        <w:t>宜</w:t>
      </w:r>
      <w:r>
        <w:rPr>
          <w:rFonts w:hint="eastAsia" w:ascii="宋体" w:hAnsi="宋体" w:eastAsia="宋体"/>
          <w:color w:val="auto"/>
        </w:rPr>
        <w:t>以现有道路为基础，顺应村庄格局，保留原始形态走向，</w:t>
      </w:r>
      <w:r>
        <w:rPr>
          <w:rFonts w:hint="eastAsia" w:ascii="Times New Roman" w:hAnsi="Times New Roman" w:eastAsia="宋体" w:cs="Times New Roman"/>
          <w:color w:val="auto"/>
          <w:sz w:val="21"/>
          <w:szCs w:val="21"/>
          <w:vertAlign w:val="baseline"/>
          <w:lang w:val="en-US" w:eastAsia="zh-CN"/>
        </w:rPr>
        <w:t>道路施工中</w:t>
      </w:r>
      <w:r>
        <w:rPr>
          <w:rFonts w:hint="eastAsia" w:ascii="Times New Roman" w:eastAsia="宋体" w:cs="Times New Roman"/>
          <w:color w:val="auto"/>
          <w:sz w:val="21"/>
          <w:szCs w:val="21"/>
          <w:vertAlign w:val="baseline"/>
          <w:lang w:val="en-US" w:eastAsia="zh-CN"/>
        </w:rPr>
        <w:t>鼓励</w:t>
      </w:r>
      <w:r>
        <w:rPr>
          <w:rFonts w:hint="eastAsia" w:ascii="Times New Roman" w:hAnsi="Times New Roman" w:eastAsia="宋体" w:cs="Times New Roman"/>
          <w:color w:val="auto"/>
          <w:sz w:val="21"/>
          <w:szCs w:val="21"/>
          <w:vertAlign w:val="baseline"/>
        </w:rPr>
        <w:t>就地取材</w:t>
      </w:r>
      <w:r>
        <w:rPr>
          <w:rFonts w:hint="eastAsia" w:ascii="宋体" w:hAnsi="宋体" w:eastAsia="宋体"/>
          <w:color w:val="auto"/>
        </w:rPr>
        <w:t>，突出</w:t>
      </w:r>
      <w:r>
        <w:rPr>
          <w:rFonts w:hint="eastAsia" w:ascii="Times New Roman" w:hAnsi="Times New Roman" w:eastAsia="宋体" w:cs="Times New Roman"/>
          <w:color w:val="auto"/>
          <w:sz w:val="21"/>
          <w:szCs w:val="21"/>
          <w:vertAlign w:val="baseline"/>
          <w:lang w:val="en-US" w:eastAsia="zh-CN"/>
        </w:rPr>
        <w:t>乡村</w:t>
      </w:r>
      <w:r>
        <w:rPr>
          <w:rFonts w:hint="eastAsia" w:ascii="宋体" w:hAnsi="宋体" w:eastAsia="宋体"/>
          <w:color w:val="auto"/>
        </w:rPr>
        <w:t>地方特色。</w:t>
      </w:r>
    </w:p>
    <w:p w14:paraId="6516D449">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宋体" w:hAnsi="宋体" w:eastAsia="宋体"/>
          <w:color w:val="auto"/>
        </w:rPr>
      </w:pPr>
      <w:r>
        <w:rPr>
          <w:rFonts w:hint="eastAsia" w:ascii="宋体" w:hAnsi="宋体" w:eastAsia="宋体"/>
          <w:color w:val="auto"/>
        </w:rPr>
        <w:t>通村道路达到“四好农村路”标准。</w:t>
      </w:r>
      <w:r>
        <w:rPr>
          <w:rFonts w:hint="eastAsia" w:ascii="宋体" w:hAnsi="宋体" w:eastAsia="宋体"/>
          <w:color w:val="auto"/>
          <w:lang w:val="en-US" w:eastAsia="zh-CN"/>
        </w:rPr>
        <w:t>加强农村公路桥梁建设，提高桥梁建设质量，建立健全桥梁维护制度以及加强桥梁安全管理。</w:t>
      </w:r>
    </w:p>
    <w:p w14:paraId="07722169">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村主干路</w:t>
      </w:r>
      <w:r>
        <w:rPr>
          <w:rFonts w:hint="eastAsia" w:ascii="宋体" w:hAnsi="宋体" w:eastAsia="宋体"/>
          <w:color w:val="auto"/>
          <w:lang w:eastAsia="zh-CN"/>
        </w:rPr>
        <w:t>宜</w:t>
      </w:r>
      <w:r>
        <w:rPr>
          <w:rFonts w:hint="eastAsia" w:ascii="宋体" w:hAnsi="宋体" w:eastAsia="宋体"/>
          <w:color w:val="auto"/>
        </w:rPr>
        <w:t>进出通畅，满足生活生产的安全通行；入户路</w:t>
      </w:r>
      <w:r>
        <w:rPr>
          <w:rFonts w:hint="eastAsia" w:ascii="宋体" w:hAnsi="宋体" w:eastAsia="宋体"/>
          <w:color w:val="auto"/>
          <w:lang w:eastAsia="zh-CN"/>
        </w:rPr>
        <w:t>宜</w:t>
      </w:r>
      <w:r>
        <w:rPr>
          <w:rFonts w:hint="eastAsia" w:ascii="宋体" w:hAnsi="宋体" w:eastAsia="宋体"/>
          <w:color w:val="auto"/>
        </w:rPr>
        <w:t>进行硬化，实现“户户通”。</w:t>
      </w:r>
      <w:r>
        <w:rPr>
          <w:rFonts w:hint="eastAsia" w:ascii="宋体" w:hAnsi="宋体" w:eastAsia="宋体" w:cs="Times New Roman"/>
          <w:color w:val="auto"/>
          <w:sz w:val="21"/>
          <w:szCs w:val="21"/>
          <w:lang w:val="en-US" w:eastAsia="zh-CN"/>
        </w:rPr>
        <w:t>村内道路硬化率达到70%以上。</w:t>
      </w:r>
      <w:r>
        <w:rPr>
          <w:rFonts w:hint="eastAsia" w:ascii="宋体" w:hAnsi="宋体" w:eastAsia="宋体"/>
          <w:color w:val="auto"/>
        </w:rPr>
        <w:t>根据村庄人口规模，选择相应的道路等级与宽度。一般可按照干路、支路、宅间路进行布置。</w:t>
      </w:r>
    </w:p>
    <w:p w14:paraId="2FF69D29">
      <w:pPr>
        <w:pStyle w:val="56"/>
      </w:pPr>
      <w:bookmarkStart w:id="96" w:name="_GoBack"/>
      <w:bookmarkEnd w:id="96"/>
    </w:p>
    <w:p w14:paraId="7B8BC9C0">
      <w:pPr>
        <w:pStyle w:val="112"/>
        <w:rPr>
          <w:b w:val="0"/>
          <w:color w:val="auto"/>
        </w:rPr>
      </w:pPr>
      <w:r>
        <w:rPr>
          <w:rFonts w:hint="eastAsia"/>
          <w:b w:val="0"/>
          <w:color w:val="auto"/>
        </w:rPr>
        <w:t>户户通道路要求</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961"/>
        <w:gridCol w:w="2410"/>
        <w:gridCol w:w="1807"/>
      </w:tblGrid>
      <w:tr w14:paraId="0B6F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392" w:type="dxa"/>
          </w:tcPr>
          <w:p w14:paraId="565755EF">
            <w:pPr>
              <w:pStyle w:val="174"/>
              <w:numPr>
                <w:ilvl w:val="0"/>
                <w:numId w:val="0"/>
              </w:numPr>
              <w:jc w:val="center"/>
              <w:rPr>
                <w:color w:val="auto"/>
                <w:sz w:val="18"/>
                <w:szCs w:val="18"/>
              </w:rPr>
            </w:pPr>
          </w:p>
        </w:tc>
        <w:tc>
          <w:tcPr>
            <w:tcW w:w="2961" w:type="dxa"/>
          </w:tcPr>
          <w:p w14:paraId="3840B318">
            <w:pPr>
              <w:pStyle w:val="174"/>
              <w:numPr>
                <w:ilvl w:val="0"/>
                <w:numId w:val="0"/>
              </w:numPr>
              <w:jc w:val="center"/>
              <w:rPr>
                <w:color w:val="auto"/>
                <w:sz w:val="18"/>
                <w:szCs w:val="18"/>
              </w:rPr>
            </w:pPr>
            <w:r>
              <w:rPr>
                <w:rFonts w:hint="eastAsia"/>
                <w:color w:val="auto"/>
                <w:sz w:val="18"/>
                <w:szCs w:val="18"/>
              </w:rPr>
              <w:t>干路</w:t>
            </w:r>
          </w:p>
        </w:tc>
        <w:tc>
          <w:tcPr>
            <w:tcW w:w="2410" w:type="dxa"/>
          </w:tcPr>
          <w:p w14:paraId="555316D9">
            <w:pPr>
              <w:pStyle w:val="174"/>
              <w:numPr>
                <w:ilvl w:val="0"/>
                <w:numId w:val="0"/>
              </w:numPr>
              <w:jc w:val="center"/>
              <w:rPr>
                <w:color w:val="auto"/>
                <w:sz w:val="18"/>
                <w:szCs w:val="18"/>
              </w:rPr>
            </w:pPr>
            <w:r>
              <w:rPr>
                <w:rFonts w:hint="eastAsia"/>
                <w:color w:val="auto"/>
                <w:sz w:val="18"/>
                <w:szCs w:val="18"/>
              </w:rPr>
              <w:t>支路</w:t>
            </w:r>
          </w:p>
        </w:tc>
        <w:tc>
          <w:tcPr>
            <w:tcW w:w="1807" w:type="dxa"/>
          </w:tcPr>
          <w:p w14:paraId="3C1424DA">
            <w:pPr>
              <w:pStyle w:val="174"/>
              <w:numPr>
                <w:ilvl w:val="0"/>
                <w:numId w:val="0"/>
              </w:numPr>
              <w:jc w:val="center"/>
              <w:rPr>
                <w:color w:val="auto"/>
                <w:sz w:val="18"/>
                <w:szCs w:val="18"/>
              </w:rPr>
            </w:pPr>
            <w:r>
              <w:rPr>
                <w:rFonts w:hint="eastAsia"/>
                <w:color w:val="auto"/>
                <w:sz w:val="18"/>
                <w:szCs w:val="18"/>
              </w:rPr>
              <w:t>宅间路</w:t>
            </w:r>
          </w:p>
        </w:tc>
      </w:tr>
      <w:tr w14:paraId="085FA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392" w:type="dxa"/>
          </w:tcPr>
          <w:p w14:paraId="30009DAB">
            <w:pPr>
              <w:pStyle w:val="174"/>
              <w:numPr>
                <w:ilvl w:val="0"/>
                <w:numId w:val="0"/>
              </w:numPr>
              <w:jc w:val="center"/>
              <w:rPr>
                <w:color w:val="auto"/>
                <w:sz w:val="18"/>
                <w:szCs w:val="18"/>
              </w:rPr>
            </w:pPr>
            <w:r>
              <w:rPr>
                <w:rFonts w:hint="eastAsia"/>
                <w:color w:val="auto"/>
                <w:sz w:val="18"/>
                <w:szCs w:val="18"/>
              </w:rPr>
              <w:t>路幅宽度</w:t>
            </w:r>
          </w:p>
        </w:tc>
        <w:tc>
          <w:tcPr>
            <w:tcW w:w="2961" w:type="dxa"/>
          </w:tcPr>
          <w:p w14:paraId="2600C2FF">
            <w:pPr>
              <w:pStyle w:val="174"/>
              <w:numPr>
                <w:ilvl w:val="0"/>
                <w:numId w:val="0"/>
              </w:numPr>
              <w:jc w:val="center"/>
              <w:rPr>
                <w:color w:val="auto"/>
                <w:sz w:val="18"/>
                <w:szCs w:val="18"/>
              </w:rPr>
            </w:pPr>
            <w:r>
              <w:rPr>
                <w:rFonts w:hint="eastAsia"/>
                <w:color w:val="auto"/>
                <w:sz w:val="18"/>
                <w:szCs w:val="18"/>
              </w:rPr>
              <w:t>8 m～12 m</w:t>
            </w:r>
          </w:p>
        </w:tc>
        <w:tc>
          <w:tcPr>
            <w:tcW w:w="2410" w:type="dxa"/>
          </w:tcPr>
          <w:p w14:paraId="5CB697FC">
            <w:pPr>
              <w:pStyle w:val="174"/>
              <w:numPr>
                <w:ilvl w:val="0"/>
                <w:numId w:val="0"/>
              </w:numPr>
              <w:jc w:val="center"/>
              <w:rPr>
                <w:color w:val="auto"/>
                <w:sz w:val="18"/>
                <w:szCs w:val="18"/>
              </w:rPr>
            </w:pPr>
            <w:r>
              <w:rPr>
                <w:rFonts w:hint="eastAsia"/>
                <w:color w:val="auto"/>
                <w:sz w:val="18"/>
                <w:szCs w:val="18"/>
              </w:rPr>
              <w:t>5 m</w:t>
            </w:r>
            <w:r>
              <w:rPr>
                <w:rFonts w:hint="eastAsia" w:hAnsi="宋体"/>
                <w:color w:val="auto"/>
                <w:sz w:val="18"/>
                <w:szCs w:val="18"/>
              </w:rPr>
              <w:t>～</w:t>
            </w:r>
            <w:r>
              <w:rPr>
                <w:rFonts w:hint="eastAsia"/>
                <w:color w:val="auto"/>
                <w:sz w:val="18"/>
                <w:szCs w:val="18"/>
              </w:rPr>
              <w:t>7 m</w:t>
            </w:r>
          </w:p>
        </w:tc>
        <w:tc>
          <w:tcPr>
            <w:tcW w:w="1807" w:type="dxa"/>
          </w:tcPr>
          <w:p w14:paraId="4F5840CC">
            <w:pPr>
              <w:pStyle w:val="174"/>
              <w:numPr>
                <w:ilvl w:val="0"/>
                <w:numId w:val="0"/>
              </w:numPr>
              <w:jc w:val="center"/>
              <w:rPr>
                <w:color w:val="auto"/>
                <w:sz w:val="18"/>
                <w:szCs w:val="18"/>
              </w:rPr>
            </w:pPr>
            <w:r>
              <w:rPr>
                <w:rFonts w:hint="eastAsia"/>
                <w:color w:val="auto"/>
                <w:sz w:val="18"/>
                <w:szCs w:val="18"/>
              </w:rPr>
              <w:t>3 m～4 m</w:t>
            </w:r>
          </w:p>
        </w:tc>
      </w:tr>
      <w:tr w14:paraId="5DD2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392" w:type="dxa"/>
          </w:tcPr>
          <w:p w14:paraId="6887BC4B">
            <w:pPr>
              <w:pStyle w:val="174"/>
              <w:numPr>
                <w:ilvl w:val="0"/>
                <w:numId w:val="0"/>
              </w:numPr>
              <w:jc w:val="center"/>
              <w:rPr>
                <w:color w:val="auto"/>
                <w:sz w:val="18"/>
                <w:szCs w:val="18"/>
              </w:rPr>
            </w:pPr>
            <w:r>
              <w:rPr>
                <w:rFonts w:hint="eastAsia"/>
                <w:color w:val="auto"/>
                <w:sz w:val="18"/>
                <w:szCs w:val="18"/>
              </w:rPr>
              <w:t>排水边沟和绿化带</w:t>
            </w:r>
          </w:p>
        </w:tc>
        <w:tc>
          <w:tcPr>
            <w:tcW w:w="2961" w:type="dxa"/>
          </w:tcPr>
          <w:p w14:paraId="5D8176F2">
            <w:pPr>
              <w:pStyle w:val="174"/>
              <w:numPr>
                <w:ilvl w:val="0"/>
                <w:numId w:val="0"/>
              </w:numPr>
              <w:jc w:val="center"/>
              <w:rPr>
                <w:color w:val="auto"/>
                <w:sz w:val="18"/>
                <w:szCs w:val="18"/>
              </w:rPr>
            </w:pPr>
            <w:r>
              <w:rPr>
                <w:rFonts w:hint="eastAsia"/>
                <w:color w:val="auto"/>
                <w:sz w:val="18"/>
                <w:szCs w:val="18"/>
              </w:rPr>
              <w:t>两侧宜设置排水边沟和绿化带</w:t>
            </w:r>
          </w:p>
        </w:tc>
        <w:tc>
          <w:tcPr>
            <w:tcW w:w="2410" w:type="dxa"/>
          </w:tcPr>
          <w:p w14:paraId="60C8509A">
            <w:pPr>
              <w:pStyle w:val="174"/>
              <w:numPr>
                <w:ilvl w:val="0"/>
                <w:numId w:val="0"/>
              </w:numPr>
              <w:jc w:val="center"/>
              <w:rPr>
                <w:color w:val="auto"/>
                <w:sz w:val="18"/>
                <w:szCs w:val="18"/>
              </w:rPr>
            </w:pPr>
            <w:r>
              <w:rPr>
                <w:rFonts w:hint="eastAsia"/>
                <w:color w:val="auto"/>
                <w:sz w:val="18"/>
                <w:szCs w:val="18"/>
              </w:rPr>
              <w:t>可采用单向坡面及单侧边沟</w:t>
            </w:r>
          </w:p>
        </w:tc>
        <w:tc>
          <w:tcPr>
            <w:tcW w:w="1807" w:type="dxa"/>
          </w:tcPr>
          <w:p w14:paraId="66407B9F">
            <w:pPr>
              <w:pStyle w:val="174"/>
              <w:numPr>
                <w:ilvl w:val="0"/>
                <w:numId w:val="0"/>
              </w:numPr>
              <w:jc w:val="center"/>
              <w:rPr>
                <w:color w:val="auto"/>
                <w:sz w:val="18"/>
                <w:szCs w:val="18"/>
              </w:rPr>
            </w:pPr>
          </w:p>
        </w:tc>
      </w:tr>
    </w:tbl>
    <w:p w14:paraId="549E891A">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ascii="Arial" w:hAnsi="Arial" w:eastAsia="Arial" w:cs="Arial"/>
          <w:i w:val="0"/>
          <w:iCs w:val="0"/>
          <w:caps w:val="0"/>
          <w:color w:val="auto"/>
          <w:spacing w:val="0"/>
          <w:sz w:val="21"/>
          <w:szCs w:val="21"/>
          <w:shd w:val="clear" w:fill="FFFFFF"/>
        </w:rPr>
        <w:t>田间道（‌机耕路）‌的路面宽度宜为3m-6m，‌生产路的路面宽度不宜超过3m。‌</w:t>
      </w:r>
    </w:p>
    <w:p w14:paraId="70FF218F">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合理设置沟渠、路肩</w:t>
      </w:r>
      <w:r>
        <w:rPr>
          <w:rFonts w:hint="eastAsia" w:ascii="宋体" w:hAnsi="宋体" w:eastAsia="宋体"/>
          <w:color w:val="auto"/>
          <w:lang w:eastAsia="zh-CN"/>
        </w:rPr>
        <w:t>，</w:t>
      </w:r>
      <w:r>
        <w:rPr>
          <w:rFonts w:hint="eastAsia" w:ascii="Times New Roman" w:hAnsi="Times New Roman" w:eastAsia="宋体" w:cs="Times New Roman"/>
          <w:color w:val="auto"/>
          <w:sz w:val="21"/>
          <w:szCs w:val="21"/>
          <w:vertAlign w:val="baseline"/>
        </w:rPr>
        <w:t>配建</w:t>
      </w:r>
      <w:r>
        <w:rPr>
          <w:rFonts w:hint="eastAsia" w:ascii="宋体" w:hAnsi="宋体" w:eastAsia="宋体"/>
          <w:color w:val="auto"/>
        </w:rPr>
        <w:t>路灯、减速带等辅助设施，符合实际使用需求，与道路建设同步设计、同步建设。</w:t>
      </w:r>
    </w:p>
    <w:p w14:paraId="7FA0E933">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选择交通便利的地段适当设置公共停车场（泊位）。旅游</w:t>
      </w:r>
      <w:r>
        <w:rPr>
          <w:rFonts w:hint="eastAsia" w:ascii="宋体" w:hAnsi="宋体" w:eastAsia="宋体"/>
          <w:color w:val="auto"/>
          <w:lang w:val="en-US" w:eastAsia="zh-CN"/>
        </w:rPr>
        <w:t>者</w:t>
      </w:r>
      <w:r>
        <w:rPr>
          <w:rFonts w:hint="eastAsia" w:ascii="宋体" w:hAnsi="宋体" w:eastAsia="宋体"/>
          <w:color w:val="auto"/>
        </w:rPr>
        <w:t>或者外来人口较多的村庄可适度增加停车场地。结合公共停车场设置，具备条件的可同步建设20 kW及以上充电桩设施。</w:t>
      </w:r>
    </w:p>
    <w:p w14:paraId="1E560FD8">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根据行政村公交通达情况合理设置公交站点，站点建设宜简单、实用、美观。</w:t>
      </w:r>
    </w:p>
    <w:p w14:paraId="5A1765E1">
      <w:pPr>
        <w:pStyle w:val="105"/>
        <w:spacing w:before="156" w:after="156"/>
        <w:rPr>
          <w:color w:val="auto"/>
        </w:rPr>
      </w:pPr>
      <w:bookmarkStart w:id="62" w:name="_Toc19927"/>
      <w:r>
        <w:rPr>
          <w:rFonts w:hint="eastAsia"/>
          <w:color w:val="auto"/>
        </w:rPr>
        <w:t>供水</w:t>
      </w:r>
      <w:bookmarkEnd w:id="62"/>
    </w:p>
    <w:p w14:paraId="15594460">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Times New Roman" w:hAnsi="Times New Roman" w:eastAsia="宋体" w:cs="Times New Roman"/>
          <w:color w:val="auto"/>
          <w:sz w:val="21"/>
          <w:szCs w:val="21"/>
          <w:vertAlign w:val="baseline"/>
        </w:rPr>
        <w:t>优先利用地表水、科学配置外调水、合理取用地下水，提高农村供水稳定性</w:t>
      </w:r>
      <w:r>
        <w:rPr>
          <w:rFonts w:hint="eastAsia" w:ascii="Times New Roman" w:eastAsia="宋体" w:cs="Times New Roman"/>
          <w:color w:val="auto"/>
          <w:sz w:val="21"/>
          <w:szCs w:val="21"/>
          <w:vertAlign w:val="baseline"/>
          <w:lang w:eastAsia="zh-CN"/>
        </w:rPr>
        <w:t>，</w:t>
      </w:r>
      <w:r>
        <w:rPr>
          <w:rFonts w:hint="eastAsia" w:ascii="Times New Roman" w:hAnsi="Times New Roman" w:eastAsia="宋体" w:cs="Times New Roman"/>
          <w:color w:val="auto"/>
          <w:sz w:val="21"/>
          <w:szCs w:val="21"/>
          <w:vertAlign w:val="baseline"/>
        </w:rPr>
        <w:t>确保水源</w:t>
      </w:r>
      <w:r>
        <w:rPr>
          <w:rFonts w:hint="eastAsia" w:ascii="Times New Roman" w:hAnsi="Times New Roman" w:eastAsia="宋体" w:cs="Times New Roman"/>
          <w:color w:val="auto"/>
          <w:sz w:val="21"/>
          <w:szCs w:val="21"/>
          <w:vertAlign w:val="baseline"/>
          <w:lang w:val="en-US" w:eastAsia="zh-CN"/>
        </w:rPr>
        <w:t>安全长效</w:t>
      </w:r>
      <w:r>
        <w:rPr>
          <w:rFonts w:hint="eastAsia" w:ascii="Times New Roman" w:hAnsi="Times New Roman" w:eastAsia="宋体" w:cs="Times New Roman"/>
          <w:color w:val="auto"/>
          <w:sz w:val="21"/>
          <w:szCs w:val="21"/>
          <w:vertAlign w:val="baseline"/>
        </w:rPr>
        <w:t>可持续利用</w:t>
      </w:r>
      <w:r>
        <w:rPr>
          <w:rFonts w:hint="eastAsia" w:ascii="宋体" w:hAnsi="宋体" w:eastAsia="宋体"/>
          <w:color w:val="auto"/>
        </w:rPr>
        <w:t>。</w:t>
      </w:r>
    </w:p>
    <w:p w14:paraId="47AADD5E">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s="Times New Roman"/>
          <w:color w:val="auto"/>
          <w:sz w:val="21"/>
          <w:szCs w:val="21"/>
        </w:rPr>
        <w:t>采用接入城镇管网、局部集中供给和单户供给三种供水模式</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自来水普及率达到90%以上</w:t>
      </w:r>
      <w:r>
        <w:rPr>
          <w:rFonts w:hint="eastAsia" w:ascii="宋体" w:hAnsi="宋体" w:eastAsia="宋体"/>
          <w:color w:val="auto"/>
        </w:rPr>
        <w:t>。</w:t>
      </w:r>
    </w:p>
    <w:p w14:paraId="2352828B">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生活饮用水水质符合GB5749</w:t>
      </w:r>
      <w:r>
        <w:rPr>
          <w:rFonts w:hint="eastAsia" w:ascii="Times New Roman" w:hAnsi="Times New Roman" w:eastAsia="宋体" w:cs="Times New Roman"/>
          <w:color w:val="auto"/>
          <w:sz w:val="21"/>
          <w:szCs w:val="21"/>
          <w:vertAlign w:val="baseline"/>
          <w:lang w:eastAsia="zh-CN"/>
        </w:rPr>
        <w:t>的规定</w:t>
      </w:r>
      <w:r>
        <w:rPr>
          <w:rFonts w:hint="eastAsia" w:ascii="宋体" w:hAnsi="宋体" w:eastAsia="宋体"/>
          <w:color w:val="auto"/>
        </w:rPr>
        <w:t>，</w:t>
      </w:r>
      <w:r>
        <w:rPr>
          <w:rFonts w:hint="eastAsia" w:ascii="Times New Roman" w:hAnsi="Times New Roman" w:eastAsia="宋体" w:cs="Times New Roman"/>
          <w:color w:val="auto"/>
          <w:sz w:val="21"/>
          <w:szCs w:val="21"/>
          <w:vertAlign w:val="baseline"/>
          <w:lang w:val="en-US" w:eastAsia="zh-CN"/>
        </w:rPr>
        <w:t>最小可供水量不小于最高日需水量</w:t>
      </w:r>
      <w:r>
        <w:rPr>
          <w:rFonts w:hint="eastAsia" w:ascii="宋体" w:hAnsi="宋体" w:eastAsia="宋体"/>
          <w:color w:val="auto"/>
        </w:rPr>
        <w:t>，水压满足配水管网中用户接管点最小服务水头的要求。</w:t>
      </w:r>
    </w:p>
    <w:p w14:paraId="22AAC900">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宋体" w:hAnsi="宋体" w:eastAsia="宋体"/>
          <w:color w:val="auto"/>
        </w:rPr>
      </w:pPr>
      <w:r>
        <w:rPr>
          <w:rFonts w:hint="eastAsia" w:ascii="宋体" w:hAnsi="宋体" w:eastAsia="宋体"/>
          <w:color w:val="auto"/>
        </w:rPr>
        <w:t>加强水源地保护，严格饮用水水源保护区划定与管理，在保护范围边界设置明显地理界标和明显的警示标志。一级保护区内禁止新建、扩建与供水设施和保护水源无关的建设项目。二级保护区内禁止新建、改建、扩建排放污染物的建设项目。准保护区内禁止新建、扩建对水体污染严重的建设项目。</w:t>
      </w:r>
    </w:p>
    <w:p w14:paraId="3A280282">
      <w:pPr>
        <w:pStyle w:val="165"/>
        <w:rPr>
          <w:rFonts w:ascii="宋体" w:hAnsi="宋体" w:eastAsia="宋体"/>
          <w:color w:val="auto"/>
        </w:rPr>
      </w:pPr>
      <w:r>
        <w:rPr>
          <w:rFonts w:hint="eastAsia" w:ascii="宋体" w:hAnsi="宋体" w:eastAsia="宋体"/>
          <w:color w:val="auto"/>
        </w:rPr>
        <w:t>定期维修养护供水水源及管网线路，供水工程建设和管护应符合</w:t>
      </w:r>
      <w:r>
        <w:rPr>
          <w:rFonts w:hint="eastAsia"/>
          <w:color w:val="auto"/>
        </w:rPr>
        <w:t>GB/T</w:t>
      </w:r>
      <w:r>
        <w:rPr>
          <w:rFonts w:hint="eastAsia"/>
          <w:color w:val="auto"/>
          <w:lang w:val="en-US" w:eastAsia="zh-CN"/>
        </w:rPr>
        <w:t xml:space="preserve"> </w:t>
      </w:r>
      <w:r>
        <w:rPr>
          <w:rFonts w:hint="eastAsia"/>
          <w:color w:val="auto"/>
        </w:rPr>
        <w:t>43824的</w:t>
      </w:r>
      <w:r>
        <w:rPr>
          <w:rFonts w:hint="eastAsia"/>
          <w:color w:val="auto"/>
          <w:lang w:val="en-US" w:eastAsia="zh-CN"/>
        </w:rPr>
        <w:t>规定</w:t>
      </w:r>
      <w:r>
        <w:rPr>
          <w:rFonts w:hint="eastAsia"/>
          <w:color w:val="auto"/>
        </w:rPr>
        <w:t>。</w:t>
      </w:r>
    </w:p>
    <w:p w14:paraId="53784E9C">
      <w:pPr>
        <w:pStyle w:val="105"/>
        <w:spacing w:before="156" w:after="156"/>
        <w:rPr>
          <w:color w:val="auto"/>
        </w:rPr>
      </w:pPr>
      <w:bookmarkStart w:id="63" w:name="_Toc16980"/>
      <w:r>
        <w:rPr>
          <w:rFonts w:hint="eastAsia"/>
          <w:color w:val="auto"/>
        </w:rPr>
        <w:t>清洁能源</w:t>
      </w:r>
      <w:bookmarkEnd w:id="63"/>
    </w:p>
    <w:p w14:paraId="7564130A">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因地制宜采用统一供电和分布式供电两种模式。</w:t>
      </w:r>
    </w:p>
    <w:p w14:paraId="0D00FC67">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 xml:space="preserve">农村电力网建设与改造的规划设计应符合DL/T 5118 </w:t>
      </w:r>
      <w:r>
        <w:rPr>
          <w:rFonts w:hint="eastAsia" w:ascii="宋体" w:hAnsi="宋体" w:eastAsia="宋体"/>
          <w:color w:val="auto"/>
          <w:lang w:eastAsia="zh-CN"/>
        </w:rPr>
        <w:t>的规定</w:t>
      </w:r>
      <w:r>
        <w:rPr>
          <w:rFonts w:hint="eastAsia" w:ascii="宋体" w:hAnsi="宋体" w:eastAsia="宋体"/>
          <w:color w:val="auto"/>
        </w:rPr>
        <w:t xml:space="preserve">，电压等级应符合GB/T 156 </w:t>
      </w:r>
      <w:r>
        <w:rPr>
          <w:rFonts w:hint="eastAsia" w:ascii="宋体" w:hAnsi="宋体" w:eastAsia="宋体"/>
          <w:color w:val="auto"/>
          <w:lang w:eastAsia="zh-CN"/>
        </w:rPr>
        <w:t>的规定</w:t>
      </w:r>
      <w:r>
        <w:rPr>
          <w:rFonts w:hint="eastAsia" w:ascii="宋体" w:hAnsi="宋体" w:eastAsia="宋体"/>
          <w:color w:val="auto"/>
        </w:rPr>
        <w:t>。</w:t>
      </w:r>
    </w:p>
    <w:p w14:paraId="582CE170">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s="Times New Roman"/>
          <w:color w:val="auto"/>
          <w:lang w:val="en-US" w:eastAsia="zh-CN"/>
        </w:rPr>
        <w:t>农村供暖可因地制宜采用接入城镇供暖系统集中供暖、</w:t>
      </w:r>
      <w:r>
        <w:rPr>
          <w:rFonts w:hint="eastAsia" w:ascii="宋体" w:hAnsi="宋体" w:eastAsia="宋体" w:cs="Times New Roman"/>
          <w:color w:val="auto"/>
          <w:lang w:val="en-US" w:eastAsia="zh-CN"/>
        </w:rPr>
        <w:t>村庄集中供暖、分散供暖三种模式。鼓励实施热源清洁化改造，实施农村散户煤改洁改造。</w:t>
      </w:r>
    </w:p>
    <w:p w14:paraId="5F0299E6">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农村供气可采用接入城镇管网的集中供气、LNG/CNG分散供气、液化石油气组集中供气、单户分散式供气等模式，提高农村用气普及率。</w:t>
      </w:r>
    </w:p>
    <w:p w14:paraId="0565EF6E">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供气设施宜统一安装，具备相应安全措施，定期进行检修维护，确保使用安全。</w:t>
      </w:r>
    </w:p>
    <w:p w14:paraId="626E439B">
      <w:pPr>
        <w:pStyle w:val="165"/>
        <w:rPr>
          <w:rFonts w:ascii="宋体" w:hAnsi="宋体" w:eastAsia="宋体"/>
          <w:color w:val="auto"/>
        </w:rPr>
      </w:pPr>
      <w:r>
        <w:rPr>
          <w:rFonts w:hint="eastAsia" w:ascii="宋体" w:hAnsi="宋体" w:eastAsia="宋体" w:cs="Times New Roman"/>
          <w:color w:val="auto"/>
          <w:sz w:val="21"/>
          <w:szCs w:val="21"/>
        </w:rPr>
        <w:t>推广使用太阳能、</w:t>
      </w:r>
      <w:r>
        <w:rPr>
          <w:rFonts w:hint="eastAsia" w:ascii="宋体" w:hAnsi="宋体" w:eastAsia="宋体" w:cs="Times New Roman"/>
          <w:color w:val="auto"/>
          <w:sz w:val="21"/>
          <w:szCs w:val="21"/>
          <w:lang w:val="en-US" w:eastAsia="zh-CN"/>
        </w:rPr>
        <w:t>风</w:t>
      </w:r>
      <w:r>
        <w:rPr>
          <w:rFonts w:hint="eastAsia" w:ascii="宋体" w:hAnsi="宋体" w:eastAsia="宋体" w:cs="Times New Roman"/>
          <w:color w:val="auto"/>
          <w:sz w:val="21"/>
          <w:szCs w:val="21"/>
        </w:rPr>
        <w:t>能、</w:t>
      </w:r>
      <w:r>
        <w:rPr>
          <w:rFonts w:hint="eastAsia" w:ascii="宋体" w:hAnsi="宋体" w:eastAsia="宋体" w:cs="Times New Roman"/>
          <w:color w:val="auto"/>
          <w:sz w:val="21"/>
          <w:szCs w:val="21"/>
          <w:lang w:val="en-US" w:eastAsia="zh-CN"/>
        </w:rPr>
        <w:t>生物质能</w:t>
      </w:r>
      <w:r>
        <w:rPr>
          <w:rFonts w:hint="eastAsia"/>
          <w:color w:val="auto"/>
        </w:rPr>
        <w:t>、空气能、氢能</w:t>
      </w:r>
      <w:r>
        <w:rPr>
          <w:rFonts w:hint="eastAsia" w:ascii="宋体" w:hAnsi="宋体" w:eastAsia="宋体" w:cs="Times New Roman"/>
          <w:color w:val="auto"/>
          <w:sz w:val="21"/>
          <w:szCs w:val="21"/>
        </w:rPr>
        <w:t>等清洁能源，</w:t>
      </w:r>
      <w:r>
        <w:rPr>
          <w:rFonts w:hint="eastAsia"/>
          <w:color w:val="auto"/>
          <w:lang w:val="en-US" w:eastAsia="zh-CN"/>
        </w:rPr>
        <w:t>清洁能源率达到50</w:t>
      </w:r>
      <w:r>
        <w:rPr>
          <w:rFonts w:hint="default"/>
          <w:color w:val="auto"/>
          <w:lang w:val="en-US" w:eastAsia="zh-CN"/>
        </w:rPr>
        <w:t>%</w:t>
      </w:r>
      <w:r>
        <w:rPr>
          <w:rFonts w:hint="eastAsia"/>
          <w:color w:val="auto"/>
          <w:lang w:val="en-US" w:eastAsia="zh-CN"/>
        </w:rPr>
        <w:t>。</w:t>
      </w:r>
    </w:p>
    <w:p w14:paraId="225AC051">
      <w:pPr>
        <w:pStyle w:val="105"/>
        <w:spacing w:before="156" w:after="156"/>
        <w:rPr>
          <w:color w:val="auto"/>
        </w:rPr>
      </w:pPr>
      <w:bookmarkStart w:id="64" w:name="_Toc24065"/>
      <w:r>
        <w:rPr>
          <w:rFonts w:hint="eastAsia"/>
          <w:color w:val="auto"/>
        </w:rPr>
        <w:t>冷链物流</w:t>
      </w:r>
      <w:bookmarkEnd w:id="64"/>
    </w:p>
    <w:p w14:paraId="1633E7D4">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Times New Roman" w:hAnsi="Times New Roman" w:eastAsia="宋体" w:cs="Times New Roman"/>
          <w:color w:val="auto"/>
          <w:sz w:val="21"/>
          <w:szCs w:val="21"/>
          <w:vertAlign w:val="baseline"/>
          <w:lang w:val="en-US" w:eastAsia="zh-CN"/>
        </w:rPr>
        <w:t>围绕水果、蔬菜</w:t>
      </w:r>
      <w:r>
        <w:rPr>
          <w:rFonts w:hint="eastAsia" w:ascii="Times New Roman" w:eastAsia="宋体" w:cs="Times New Roman"/>
          <w:color w:val="auto"/>
          <w:sz w:val="21"/>
          <w:szCs w:val="21"/>
          <w:vertAlign w:val="baseline"/>
          <w:lang w:val="en-US" w:eastAsia="zh-CN"/>
        </w:rPr>
        <w:t>、水产品</w:t>
      </w:r>
      <w:r>
        <w:rPr>
          <w:rFonts w:hint="eastAsia" w:ascii="Times New Roman" w:hAnsi="Times New Roman" w:eastAsia="宋体" w:cs="Times New Roman"/>
          <w:color w:val="auto"/>
          <w:sz w:val="21"/>
          <w:szCs w:val="21"/>
          <w:vertAlign w:val="baseline"/>
          <w:lang w:val="en-US" w:eastAsia="zh-CN"/>
        </w:rPr>
        <w:t>等鲜活农产品和特色农产品</w:t>
      </w:r>
      <w:r>
        <w:rPr>
          <w:rFonts w:hint="eastAsia" w:ascii="宋体" w:hAnsi="宋体" w:eastAsia="宋体"/>
          <w:color w:val="auto"/>
        </w:rPr>
        <w:t>，建设通风库、机械冷库、气调库、预冷库等产地冷藏保鲜设施，满足农业经营需求。</w:t>
      </w:r>
    </w:p>
    <w:p w14:paraId="01946365">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建设“减损促销、联农带农”的田头市场，提供交易、预冷、分级、包装、暂存等服务，保持产品品质，增加产品价值。</w:t>
      </w:r>
    </w:p>
    <w:p w14:paraId="2EDBD824">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s="Times New Roman"/>
          <w:color w:val="auto"/>
          <w:sz w:val="21"/>
          <w:szCs w:val="21"/>
        </w:rPr>
        <w:t>实施“快递进村”工程，</w:t>
      </w:r>
      <w:r>
        <w:rPr>
          <w:rFonts w:hint="eastAsia" w:ascii="宋体" w:hAnsi="宋体" w:eastAsia="宋体" w:cs="Times New Roman"/>
          <w:color w:val="auto"/>
          <w:sz w:val="21"/>
          <w:szCs w:val="21"/>
          <w:lang w:val="en-US" w:eastAsia="zh-CN"/>
        </w:rPr>
        <w:t>建设村级服务站点，</w:t>
      </w:r>
      <w:r>
        <w:rPr>
          <w:rFonts w:hint="eastAsia" w:ascii="宋体" w:hAnsi="宋体" w:eastAsia="宋体" w:cs="Times New Roman"/>
          <w:color w:val="auto"/>
          <w:sz w:val="21"/>
          <w:szCs w:val="21"/>
        </w:rPr>
        <w:t>保障农产品出村进城渠道畅通</w:t>
      </w:r>
      <w:r>
        <w:rPr>
          <w:rFonts w:hint="eastAsia" w:ascii="宋体" w:hAnsi="宋体" w:eastAsia="宋体" w:cs="Times New Roman"/>
          <w:color w:val="auto"/>
          <w:sz w:val="21"/>
          <w:szCs w:val="21"/>
          <w:lang w:eastAsia="zh-CN"/>
        </w:rPr>
        <w:t>。</w:t>
      </w:r>
    </w:p>
    <w:p w14:paraId="1372311E">
      <w:pPr>
        <w:pStyle w:val="105"/>
        <w:spacing w:before="156" w:after="156"/>
        <w:rPr>
          <w:color w:val="auto"/>
        </w:rPr>
      </w:pPr>
      <w:bookmarkStart w:id="65" w:name="_Toc25534"/>
      <w:r>
        <w:rPr>
          <w:rFonts w:hint="eastAsia"/>
          <w:color w:val="auto"/>
        </w:rPr>
        <w:t>数字乡村</w:t>
      </w:r>
      <w:bookmarkEnd w:id="65"/>
    </w:p>
    <w:p w14:paraId="72A6A4FE">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广播、电视、电话、网络、邮政等公共通信设施齐全、信号稳定，线路架设规范、安全有序。加快农村通信网络建设，</w:t>
      </w:r>
      <w:r>
        <w:rPr>
          <w:rFonts w:hint="eastAsia" w:ascii="宋体" w:hAnsi="宋体" w:eastAsia="宋体" w:cs="Times New Roman"/>
          <w:color w:val="auto"/>
          <w:sz w:val="21"/>
          <w:szCs w:val="21"/>
          <w:lang w:val="en-US" w:eastAsia="zh-CN"/>
        </w:rPr>
        <w:t>5G网络实现全覆盖</w:t>
      </w:r>
      <w:r>
        <w:rPr>
          <w:rFonts w:hint="eastAsia" w:ascii="宋体" w:hAnsi="宋体" w:eastAsia="宋体"/>
          <w:color w:val="auto"/>
        </w:rPr>
        <w:t>。</w:t>
      </w:r>
    </w:p>
    <w:p w14:paraId="42DC4287">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拓展农业大数据典型应用场景，加快数字化在田间气象监测、灾害预警、农产品溯源品控一体化管理、农产品出村进城等方面的应用。</w:t>
      </w:r>
    </w:p>
    <w:p w14:paraId="47E63B54">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推进数字化乡村治理，农村党务、村务、财务公开数字化应用率100%。</w:t>
      </w:r>
    </w:p>
    <w:p w14:paraId="49985A20">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实施平安乡村数字化建设，推进“互联网+公共法律服务”</w:t>
      </w:r>
      <w:r>
        <w:rPr>
          <w:rFonts w:hint="eastAsia" w:ascii="宋体" w:hAnsi="宋体" w:eastAsia="宋体" w:cs="宋体"/>
          <w:color w:val="auto"/>
          <w:sz w:val="22"/>
          <w:szCs w:val="22"/>
          <w:lang w:val="en-US" w:eastAsia="zh-CN"/>
        </w:rPr>
        <w:t>平台和村民培训</w:t>
      </w:r>
      <w:r>
        <w:rPr>
          <w:rFonts w:hint="eastAsia" w:ascii="宋体" w:hAnsi="宋体" w:eastAsia="宋体"/>
          <w:color w:val="auto"/>
        </w:rPr>
        <w:t>，建设法治数字乡村，实施雪亮工程，基本建立“空中有监控、地面有巡逻、重点部位有技防”的防控网络。</w:t>
      </w:r>
    </w:p>
    <w:p w14:paraId="1430A320">
      <w:pPr>
        <w:pStyle w:val="105"/>
        <w:spacing w:before="156" w:after="156"/>
        <w:rPr>
          <w:color w:val="auto"/>
        </w:rPr>
      </w:pPr>
      <w:bookmarkStart w:id="66" w:name="_Toc15270"/>
      <w:r>
        <w:rPr>
          <w:rFonts w:hint="eastAsia"/>
          <w:color w:val="auto"/>
        </w:rPr>
        <w:t>农村住房</w:t>
      </w:r>
      <w:bookmarkEnd w:id="66"/>
    </w:p>
    <w:p w14:paraId="0AF791E5">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s="Times New Roman"/>
          <w:color w:val="auto"/>
          <w:sz w:val="21"/>
          <w:szCs w:val="21"/>
          <w:lang w:val="en-US" w:eastAsia="zh-CN"/>
        </w:rPr>
        <w:t>加强农村住房安全排查，进行加固、抗震等改造。</w:t>
      </w:r>
    </w:p>
    <w:p w14:paraId="726B6968">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开展历史文化资源普查认定，推进传统村落集中连片保护和活化利用。</w:t>
      </w:r>
    </w:p>
    <w:p w14:paraId="57AE30DF">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宋体" w:hAnsi="宋体" w:eastAsia="宋体"/>
          <w:color w:val="auto"/>
        </w:rPr>
      </w:pPr>
      <w:r>
        <w:rPr>
          <w:rFonts w:hint="eastAsia" w:ascii="宋体" w:hAnsi="宋体" w:eastAsia="宋体"/>
          <w:color w:val="auto"/>
          <w:lang w:val="en-US" w:eastAsia="zh-CN"/>
        </w:rPr>
        <w:t>推广绿色农房建设，</w:t>
      </w:r>
      <w:r>
        <w:rPr>
          <w:rFonts w:hint="eastAsia" w:ascii="宋体" w:hAnsi="宋体" w:eastAsia="宋体"/>
          <w:color w:val="auto"/>
        </w:rPr>
        <w:t>农房建设宜就地取材，使用绿色建材。鼓励选用装配式钢结构等安全可靠的新型建造方式。</w:t>
      </w:r>
    </w:p>
    <w:p w14:paraId="01D4FFA6">
      <w:pPr>
        <w:pStyle w:val="105"/>
        <w:spacing w:before="156" w:after="156"/>
        <w:rPr>
          <w:color w:val="auto"/>
        </w:rPr>
      </w:pPr>
      <w:bookmarkStart w:id="67" w:name="_Toc24132"/>
      <w:r>
        <w:rPr>
          <w:rFonts w:hint="eastAsia"/>
          <w:color w:val="auto"/>
        </w:rPr>
        <w:t>公共照明</w:t>
      </w:r>
      <w:bookmarkEnd w:id="67"/>
    </w:p>
    <w:p w14:paraId="33F64F68">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村庄主干道和公共活动场地</w:t>
      </w:r>
      <w:r>
        <w:rPr>
          <w:rFonts w:hint="eastAsia" w:ascii="宋体" w:hAnsi="宋体" w:eastAsia="宋体"/>
          <w:color w:val="auto"/>
          <w:lang w:eastAsia="zh-CN"/>
        </w:rPr>
        <w:t>宜</w:t>
      </w:r>
      <w:r>
        <w:rPr>
          <w:rFonts w:hint="eastAsia" w:ascii="宋体" w:hAnsi="宋体" w:eastAsia="宋体"/>
          <w:color w:val="auto"/>
        </w:rPr>
        <w:t>合理布局配置公共照明设施，可采取单独架设、随杆架设和随山墙架设等方式。</w:t>
      </w:r>
    </w:p>
    <w:p w14:paraId="7C8853D6">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color w:val="auto"/>
        </w:rPr>
      </w:pPr>
      <w:r>
        <w:rPr>
          <w:rFonts w:hint="eastAsia" w:ascii="宋体" w:hAnsi="宋体" w:eastAsia="宋体" w:cs="Times New Roman"/>
          <w:color w:val="auto"/>
          <w:kern w:val="2"/>
          <w:sz w:val="21"/>
          <w:szCs w:val="20"/>
          <w:lang w:val="en-US" w:eastAsia="zh-CN" w:bidi="ar-SA"/>
        </w:rPr>
        <w:t>路灯间距30-50米，</w:t>
      </w:r>
      <w:r>
        <w:rPr>
          <w:rFonts w:hint="eastAsia" w:ascii="宋体" w:hAnsi="宋体" w:eastAsia="宋体"/>
          <w:color w:val="auto"/>
        </w:rPr>
        <w:t>路灯高度不低于5米，宜选择</w:t>
      </w:r>
      <w:r>
        <w:rPr>
          <w:rFonts w:hint="eastAsia" w:ascii="宋体" w:hAnsi="宋体" w:eastAsia="宋体" w:cs="宋体"/>
          <w:color w:val="auto"/>
          <w:szCs w:val="21"/>
          <w:lang w:bidi="ar"/>
        </w:rPr>
        <w:t>清洁能源和节能环保灯具</w:t>
      </w:r>
      <w:r>
        <w:rPr>
          <w:rFonts w:hint="eastAsia" w:ascii="宋体" w:hAnsi="宋体" w:eastAsia="宋体"/>
          <w:color w:val="auto"/>
        </w:rPr>
        <w:t>。</w:t>
      </w:r>
    </w:p>
    <w:p w14:paraId="48E9844E">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color w:val="auto"/>
        </w:rPr>
      </w:pPr>
      <w:r>
        <w:rPr>
          <w:rFonts w:hint="eastAsia" w:ascii="宋体" w:hAnsi="宋体" w:eastAsia="宋体"/>
          <w:color w:val="auto"/>
        </w:rPr>
        <w:t>公共照明设施维修管护</w:t>
      </w:r>
      <w:r>
        <w:rPr>
          <w:rFonts w:hint="eastAsia" w:ascii="宋体" w:hAnsi="宋体" w:eastAsia="宋体"/>
          <w:color w:val="auto"/>
          <w:lang w:val="en-US" w:eastAsia="zh-CN"/>
        </w:rPr>
        <w:t>及时</w:t>
      </w:r>
      <w:r>
        <w:rPr>
          <w:rFonts w:hint="eastAsia" w:ascii="宋体" w:hAnsi="宋体" w:eastAsia="宋体"/>
          <w:color w:val="auto"/>
        </w:rPr>
        <w:t>，保障正常使用。</w:t>
      </w:r>
    </w:p>
    <w:p w14:paraId="1F403EDB">
      <w:pPr>
        <w:pStyle w:val="104"/>
        <w:spacing w:before="312" w:after="312"/>
        <w:rPr>
          <w:color w:val="auto"/>
        </w:rPr>
      </w:pPr>
      <w:bookmarkStart w:id="68" w:name="_Toc1621"/>
      <w:r>
        <w:rPr>
          <w:rFonts w:hint="eastAsia"/>
          <w:color w:val="auto"/>
        </w:rPr>
        <w:t>人居环境</w:t>
      </w:r>
      <w:bookmarkEnd w:id="68"/>
    </w:p>
    <w:p w14:paraId="198E8262">
      <w:pPr>
        <w:pStyle w:val="105"/>
        <w:spacing w:before="156" w:after="156"/>
        <w:rPr>
          <w:color w:val="auto"/>
        </w:rPr>
      </w:pPr>
      <w:bookmarkStart w:id="69" w:name="_Toc29073"/>
      <w:r>
        <w:rPr>
          <w:rFonts w:hint="eastAsia"/>
          <w:color w:val="auto"/>
        </w:rPr>
        <w:t>垃圾治理</w:t>
      </w:r>
      <w:bookmarkEnd w:id="69"/>
    </w:p>
    <w:p w14:paraId="7861AC02">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宋体" w:hAnsi="宋体" w:eastAsia="宋体"/>
          <w:color w:val="auto"/>
        </w:rPr>
      </w:pPr>
      <w:r>
        <w:rPr>
          <w:rFonts w:hint="eastAsia" w:ascii="宋体" w:hAnsi="宋体" w:eastAsia="宋体"/>
          <w:color w:val="auto"/>
        </w:rPr>
        <w:t>农村垃圾</w:t>
      </w:r>
      <w:r>
        <w:rPr>
          <w:rFonts w:hint="eastAsia" w:ascii="宋体" w:hAnsi="宋体" w:eastAsia="宋体"/>
          <w:color w:val="auto"/>
          <w:lang w:val="en-US" w:eastAsia="zh-CN"/>
        </w:rPr>
        <w:t>实行</w:t>
      </w:r>
      <w:r>
        <w:rPr>
          <w:rFonts w:hint="eastAsia" w:ascii="宋体" w:hAnsi="宋体" w:eastAsia="宋体"/>
          <w:color w:val="auto"/>
        </w:rPr>
        <w:t>“户分类、村收集、乡（镇）转运、县处理”，完善农村生活垃圾收转处体系，实现生活垃圾不出庭院；推进农村生产废弃物就近、就地、就农资源化利用，实现生产废弃物不出村屯；推动农村建筑垃圾就地利用，实现建筑垃圾不出乡镇；健全农村有害垃圾回收处置体系，实现有害垃圾不出区县</w:t>
      </w:r>
      <w:r>
        <w:rPr>
          <w:rFonts w:hint="eastAsia" w:ascii="宋体" w:hAnsi="宋体" w:eastAsia="宋体"/>
          <w:color w:val="auto"/>
          <w:lang w:eastAsia="zh-CN"/>
        </w:rPr>
        <w:t>。</w:t>
      </w:r>
    </w:p>
    <w:p w14:paraId="305348CA">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宋体" w:hAnsi="宋体" w:eastAsia="宋体"/>
          <w:color w:val="auto"/>
        </w:rPr>
      </w:pPr>
      <w:r>
        <w:rPr>
          <w:rFonts w:hint="eastAsia" w:ascii="宋体" w:hAnsi="宋体" w:eastAsia="宋体"/>
          <w:color w:val="auto"/>
        </w:rPr>
        <w:t>按农村生活垃圾、生产垃圾、农业废弃物、建筑垃圾进行分类收集，并配备相应的垃圾收集设施。</w:t>
      </w:r>
    </w:p>
    <w:p w14:paraId="67AAC6AD">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村内</w:t>
      </w:r>
      <w:r>
        <w:rPr>
          <w:rFonts w:hint="eastAsia" w:ascii="宋体" w:hAnsi="宋体" w:eastAsia="宋体"/>
          <w:color w:val="auto"/>
          <w:lang w:eastAsia="zh-CN"/>
        </w:rPr>
        <w:t>宜</w:t>
      </w:r>
      <w:r>
        <w:rPr>
          <w:rFonts w:hint="eastAsia" w:ascii="宋体" w:hAnsi="宋体" w:eastAsia="宋体"/>
          <w:color w:val="auto"/>
        </w:rPr>
        <w:t>设置1-2处集中生活垃圾收集点或垃圾房，</w:t>
      </w:r>
      <w:r>
        <w:rPr>
          <w:rFonts w:hint="eastAsia" w:ascii="Times New Roman" w:hAnsi="Times New Roman" w:eastAsia="宋体" w:cs="Times New Roman"/>
          <w:color w:val="auto"/>
          <w:sz w:val="21"/>
          <w:szCs w:val="21"/>
          <w:vertAlign w:val="baseline"/>
        </w:rPr>
        <w:t>结合当地农业生产情况设立农膜、农药包装废弃物回收点</w:t>
      </w:r>
      <w:r>
        <w:rPr>
          <w:rFonts w:hint="eastAsia" w:ascii="宋体" w:hAnsi="宋体" w:eastAsia="宋体"/>
          <w:color w:val="auto"/>
        </w:rPr>
        <w:t>，根据实际需要配备晾晒场、收集池、堆沤池。</w:t>
      </w:r>
    </w:p>
    <w:p w14:paraId="78191EA1">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default" w:ascii="Times New Roman" w:hAnsi="Times New Roman" w:eastAsia="宋体" w:cs="Times New Roman"/>
          <w:color w:val="auto"/>
          <w:sz w:val="21"/>
          <w:szCs w:val="21"/>
          <w:vertAlign w:val="baseline"/>
          <w:lang w:val="en-US" w:eastAsia="zh-CN"/>
        </w:rPr>
        <w:t>根据村庄规模、人口情况等合理配备保洁员</w:t>
      </w:r>
      <w:r>
        <w:rPr>
          <w:rFonts w:hint="eastAsia" w:ascii="宋体" w:hAnsi="宋体" w:eastAsia="宋体"/>
          <w:color w:val="auto"/>
        </w:rPr>
        <w:t>，明确保洁员职责；根据实际需要配备小型垃圾清运车、压缩垃圾清运车等运输设备。</w:t>
      </w:r>
    </w:p>
    <w:p w14:paraId="0896328C">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农村</w:t>
      </w:r>
      <w:r>
        <w:rPr>
          <w:rFonts w:hint="eastAsia" w:ascii="宋体" w:hAnsi="宋体" w:eastAsia="宋体"/>
          <w:color w:val="auto"/>
          <w:lang w:val="en-US" w:eastAsia="zh-CN"/>
        </w:rPr>
        <w:t>垃圾无害化处理率达到100%，及时清理垃圾，防止再次污染。</w:t>
      </w:r>
    </w:p>
    <w:p w14:paraId="51D39ED5">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建立农户房前屋后“三包”责任制，划分每个农户责任边界，农户对责任区清洁卫生、花草树木和人行过道管护实行包保。</w:t>
      </w:r>
    </w:p>
    <w:p w14:paraId="2D1E2AE5">
      <w:pPr>
        <w:pStyle w:val="105"/>
        <w:spacing w:before="156" w:after="156"/>
        <w:rPr>
          <w:color w:val="auto"/>
        </w:rPr>
      </w:pPr>
      <w:bookmarkStart w:id="70" w:name="_Toc3073"/>
      <w:r>
        <w:rPr>
          <w:rFonts w:hint="eastAsia"/>
          <w:color w:val="auto"/>
        </w:rPr>
        <w:t>污水治理</w:t>
      </w:r>
      <w:bookmarkEnd w:id="70"/>
    </w:p>
    <w:p w14:paraId="1F5538FF">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color w:val="auto"/>
        </w:rPr>
      </w:pPr>
      <w:r>
        <w:rPr>
          <w:rFonts w:hint="eastAsia" w:ascii="宋体" w:hAnsi="宋体" w:eastAsia="宋体"/>
          <w:color w:val="auto"/>
        </w:rPr>
        <w:t>生活污水可因地制宜采用分散式资源化利用、纳入城镇污水管网、相对集中式或集中式处理等收集处理模式</w:t>
      </w:r>
      <w:r>
        <w:rPr>
          <w:rFonts w:hint="eastAsia" w:ascii="宋体" w:hAnsi="宋体" w:eastAsia="宋体"/>
          <w:color w:val="auto"/>
          <w:lang w:eastAsia="zh-CN"/>
        </w:rPr>
        <w:t>，</w:t>
      </w:r>
      <w:r>
        <w:rPr>
          <w:rFonts w:hint="eastAsia" w:ascii="宋体" w:hAnsi="宋体" w:eastAsia="宋体" w:cs="宋体"/>
          <w:color w:val="auto"/>
          <w:kern w:val="0"/>
          <w:sz w:val="21"/>
          <w:szCs w:val="21"/>
          <w:lang w:val="en-US" w:eastAsia="zh-CN" w:bidi="ar"/>
        </w:rPr>
        <w:t xml:space="preserve">生活污水治理率应达到 70% 以上。 </w:t>
      </w:r>
    </w:p>
    <w:p w14:paraId="17334D8A">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根据排水量、地形坡度合理确定污水管线管径及路由，满足GB50014标准；污水管线及设施</w:t>
      </w:r>
      <w:r>
        <w:rPr>
          <w:rFonts w:hint="eastAsia" w:ascii="宋体" w:hAnsi="宋体" w:eastAsia="宋体"/>
          <w:color w:val="auto"/>
          <w:lang w:eastAsia="zh-CN"/>
        </w:rPr>
        <w:t>宜</w:t>
      </w:r>
      <w:r>
        <w:rPr>
          <w:rFonts w:hint="eastAsia" w:ascii="宋体" w:hAnsi="宋体" w:eastAsia="宋体"/>
          <w:color w:val="auto"/>
        </w:rPr>
        <w:t>定期维修管护，保证长期稳定运行。</w:t>
      </w:r>
    </w:p>
    <w:p w14:paraId="4DFC8D8D">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采取控源截污、清淤疏浚、水系连通、水生态修复等综合性、系统性治理措施，开展农村黑臭水体治理，农村黑臭水体治理率达到100%。</w:t>
      </w:r>
    </w:p>
    <w:p w14:paraId="3FDD8CBD">
      <w:pPr>
        <w:pStyle w:val="105"/>
        <w:spacing w:before="156" w:after="156"/>
        <w:rPr>
          <w:color w:val="auto"/>
        </w:rPr>
      </w:pPr>
      <w:bookmarkStart w:id="71" w:name="_Toc21752"/>
      <w:r>
        <w:rPr>
          <w:rFonts w:hint="eastAsia"/>
          <w:color w:val="auto"/>
        </w:rPr>
        <w:t>农村厕所</w:t>
      </w:r>
      <w:bookmarkEnd w:id="71"/>
    </w:p>
    <w:p w14:paraId="365D6F65">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 xml:space="preserve">农村公厕数量可根据需要按服务人口或服务半径设置。发展旅游业的村庄可适当增加公厕数量。建设、管护应符合 GB/T 38353 </w:t>
      </w:r>
      <w:r>
        <w:rPr>
          <w:rFonts w:hint="eastAsia" w:ascii="宋体" w:hAnsi="宋体" w:eastAsia="宋体"/>
          <w:color w:val="auto"/>
          <w:lang w:eastAsia="zh-CN"/>
        </w:rPr>
        <w:t>的规定</w:t>
      </w:r>
      <w:r>
        <w:rPr>
          <w:rFonts w:hint="eastAsia" w:ascii="宋体" w:hAnsi="宋体" w:eastAsia="宋体"/>
          <w:color w:val="auto"/>
        </w:rPr>
        <w:t xml:space="preserve">。 </w:t>
      </w:r>
    </w:p>
    <w:p w14:paraId="62B173E7">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Times New Roman" w:hAnsi="Times New Roman" w:eastAsia="宋体" w:cs="Times New Roman"/>
          <w:color w:val="auto"/>
          <w:sz w:val="21"/>
          <w:szCs w:val="21"/>
          <w:vertAlign w:val="baseline"/>
        </w:rPr>
        <w:t>在尊重</w:t>
      </w:r>
      <w:r>
        <w:rPr>
          <w:rFonts w:hint="eastAsia" w:ascii="Times New Roman" w:eastAsia="宋体" w:cs="Times New Roman"/>
          <w:color w:val="auto"/>
          <w:sz w:val="21"/>
          <w:szCs w:val="21"/>
          <w:vertAlign w:val="baseline"/>
          <w:lang w:eastAsia="zh-CN"/>
        </w:rPr>
        <w:t>农村居民</w:t>
      </w:r>
      <w:r>
        <w:rPr>
          <w:rFonts w:hint="eastAsia" w:ascii="Times New Roman" w:hAnsi="Times New Roman" w:eastAsia="宋体" w:cs="Times New Roman"/>
          <w:color w:val="auto"/>
          <w:sz w:val="21"/>
          <w:szCs w:val="21"/>
          <w:vertAlign w:val="baseline"/>
        </w:rPr>
        <w:t>意愿的前提下，</w:t>
      </w:r>
      <w:r>
        <w:rPr>
          <w:rFonts w:hint="eastAsia" w:ascii="宋体" w:hAnsi="宋体" w:eastAsia="宋体"/>
          <w:color w:val="auto"/>
        </w:rPr>
        <w:t>室外管网完善的农户，</w:t>
      </w:r>
      <w:r>
        <w:rPr>
          <w:rFonts w:hint="eastAsia" w:ascii="宋体" w:hAnsi="宋体" w:eastAsia="宋体"/>
          <w:color w:val="auto"/>
          <w:lang w:eastAsia="zh-CN"/>
        </w:rPr>
        <w:t>宜</w:t>
      </w:r>
      <w:r>
        <w:rPr>
          <w:rFonts w:hint="eastAsia" w:ascii="宋体" w:hAnsi="宋体" w:eastAsia="宋体"/>
          <w:color w:val="auto"/>
        </w:rPr>
        <w:t>选择水冲式户厕；室外管网不完善的农户，</w:t>
      </w:r>
      <w:r>
        <w:rPr>
          <w:rFonts w:hint="eastAsia" w:ascii="宋体" w:hAnsi="宋体" w:eastAsia="宋体"/>
          <w:color w:val="auto"/>
          <w:lang w:eastAsia="zh-CN"/>
        </w:rPr>
        <w:t>宜</w:t>
      </w:r>
      <w:r>
        <w:rPr>
          <w:rFonts w:hint="eastAsia" w:ascii="宋体" w:hAnsi="宋体" w:eastAsia="宋体"/>
          <w:color w:val="auto"/>
        </w:rPr>
        <w:t>使用无害化卫生厕所，并建设化粪池，卫生</w:t>
      </w:r>
      <w:r>
        <w:rPr>
          <w:rFonts w:hint="eastAsia" w:ascii="Times New Roman" w:hAnsi="Times New Roman" w:eastAsia="宋体" w:cs="Times New Roman"/>
          <w:color w:val="auto"/>
          <w:sz w:val="21"/>
          <w:szCs w:val="21"/>
          <w:vertAlign w:val="baseline"/>
          <w:lang w:eastAsia="zh-CN"/>
        </w:rPr>
        <w:t>的规定</w:t>
      </w:r>
      <w:r>
        <w:rPr>
          <w:rFonts w:hint="eastAsia" w:ascii="宋体" w:hAnsi="宋体" w:eastAsia="宋体"/>
          <w:color w:val="auto"/>
        </w:rPr>
        <w:t>应符合 GB 19379</w:t>
      </w:r>
      <w:r>
        <w:rPr>
          <w:rFonts w:hint="eastAsia" w:ascii="宋体" w:hAnsi="宋体" w:eastAsia="宋体"/>
          <w:color w:val="auto"/>
          <w:lang w:val="en-US" w:eastAsia="zh-CN"/>
        </w:rPr>
        <w:t>的</w:t>
      </w:r>
      <w:r>
        <w:rPr>
          <w:rFonts w:hint="eastAsia" w:ascii="宋体" w:hAnsi="宋体" w:eastAsia="宋体"/>
          <w:color w:val="auto"/>
        </w:rPr>
        <w:t>规定。</w:t>
      </w:r>
    </w:p>
    <w:p w14:paraId="749FBFD6">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 xml:space="preserve">农村厕所粪污以就地就近处置、源头控污减排为原则，促进农村厕所粪污无害化处理与资源化利用，无害化处理的卫生要求应符合 GB 7959 </w:t>
      </w:r>
      <w:r>
        <w:rPr>
          <w:rFonts w:hint="eastAsia" w:ascii="宋体" w:hAnsi="宋体" w:eastAsia="宋体"/>
          <w:color w:val="auto"/>
          <w:lang w:val="en-US" w:eastAsia="zh-CN"/>
        </w:rPr>
        <w:t>的</w:t>
      </w:r>
      <w:r>
        <w:rPr>
          <w:rFonts w:hint="eastAsia" w:ascii="宋体" w:hAnsi="宋体" w:eastAsia="宋体"/>
          <w:color w:val="auto"/>
        </w:rPr>
        <w:t xml:space="preserve">规定。 </w:t>
      </w:r>
    </w:p>
    <w:p w14:paraId="08CA2FED">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农村三格式户厕运维管护应符合GB/T 38837</w:t>
      </w:r>
      <w:r>
        <w:rPr>
          <w:rFonts w:hint="eastAsia" w:ascii="宋体" w:hAnsi="宋体" w:eastAsia="宋体"/>
          <w:color w:val="auto"/>
          <w:lang w:eastAsia="zh-CN"/>
        </w:rPr>
        <w:t>的规定</w:t>
      </w:r>
      <w:r>
        <w:rPr>
          <w:rFonts w:hint="eastAsia" w:ascii="宋体" w:hAnsi="宋体" w:eastAsia="宋体"/>
          <w:color w:val="auto"/>
        </w:rPr>
        <w:t>。</w:t>
      </w:r>
    </w:p>
    <w:p w14:paraId="1BEDA7B4">
      <w:pPr>
        <w:pStyle w:val="105"/>
        <w:spacing w:before="156" w:after="156"/>
        <w:rPr>
          <w:rFonts w:hint="eastAsia"/>
          <w:color w:val="auto"/>
        </w:rPr>
      </w:pPr>
      <w:bookmarkStart w:id="72" w:name="_Toc27441"/>
      <w:r>
        <w:rPr>
          <w:rFonts w:hint="eastAsia"/>
          <w:color w:val="auto"/>
        </w:rPr>
        <w:t>环境质量</w:t>
      </w:r>
      <w:bookmarkEnd w:id="72"/>
    </w:p>
    <w:p w14:paraId="3C30FEA7">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宋体" w:hAnsi="宋体" w:eastAsia="宋体"/>
          <w:color w:val="auto"/>
        </w:rPr>
      </w:pPr>
      <w:r>
        <w:rPr>
          <w:rFonts w:hint="eastAsia" w:ascii="宋体" w:hAnsi="宋体" w:eastAsia="宋体"/>
          <w:color w:val="auto"/>
        </w:rPr>
        <w:t>大气、声、土壤环境质量应分别达到GB 3095、GB 3096、GB 15618中与当地环境功能区相对应的要求。</w:t>
      </w:r>
    </w:p>
    <w:p w14:paraId="2BA01618">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宋体" w:hAnsi="宋体" w:eastAsia="宋体"/>
          <w:color w:val="auto"/>
        </w:rPr>
      </w:pPr>
      <w:r>
        <w:rPr>
          <w:rFonts w:hint="eastAsia" w:ascii="宋体" w:hAnsi="宋体" w:eastAsia="宋体"/>
          <w:color w:val="auto"/>
        </w:rPr>
        <w:t>村域内主要河流、湖泊、水库等地表水体水质，沿海村庄的近岸海域海水水质应分别达到GB 3838、GB 3097中与当地环境功能区相对应的要求</w:t>
      </w:r>
      <w:r>
        <w:rPr>
          <w:rFonts w:hint="eastAsia" w:ascii="宋体" w:hAnsi="宋体" w:eastAsia="宋体"/>
          <w:color w:val="auto"/>
          <w:lang w:eastAsia="zh-CN"/>
        </w:rPr>
        <w:t>。</w:t>
      </w:r>
    </w:p>
    <w:p w14:paraId="5B550209">
      <w:pPr>
        <w:pStyle w:val="105"/>
        <w:spacing w:before="156" w:after="156"/>
        <w:rPr>
          <w:rFonts w:hint="eastAsia"/>
          <w:color w:val="auto"/>
        </w:rPr>
      </w:pPr>
      <w:bookmarkStart w:id="73" w:name="_Toc26458"/>
      <w:r>
        <w:rPr>
          <w:rFonts w:hint="eastAsia"/>
          <w:color w:val="auto"/>
        </w:rPr>
        <w:t>生态保护与治理</w:t>
      </w:r>
      <w:bookmarkEnd w:id="73"/>
    </w:p>
    <w:p w14:paraId="632BEF04">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宋体" w:hAnsi="宋体" w:eastAsia="宋体"/>
          <w:color w:val="auto"/>
        </w:rPr>
      </w:pPr>
      <w:r>
        <w:rPr>
          <w:rFonts w:hint="default" w:ascii="宋体" w:hAnsi="宋体" w:eastAsia="宋体"/>
          <w:color w:val="auto"/>
          <w:lang w:val="en-US" w:eastAsia="zh-CN"/>
        </w:rPr>
        <w:t>对村庄水体、山体、农田、植被进行生态保育和修复,维护自然环境原生态性。</w:t>
      </w:r>
    </w:p>
    <w:p w14:paraId="6FFF6112">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default" w:ascii="宋体" w:hAnsi="宋体" w:eastAsia="宋体"/>
          <w:color w:val="auto"/>
        </w:rPr>
      </w:pPr>
      <w:r>
        <w:rPr>
          <w:rFonts w:hint="eastAsia" w:ascii="宋体" w:hAnsi="宋体" w:eastAsia="宋体"/>
          <w:color w:val="auto"/>
          <w:lang w:val="en-US" w:eastAsia="zh-CN"/>
        </w:rPr>
        <w:t>加强</w:t>
      </w:r>
      <w:r>
        <w:rPr>
          <w:rFonts w:hint="default" w:ascii="宋体" w:hAnsi="宋体" w:eastAsia="宋体"/>
          <w:color w:val="auto"/>
          <w:lang w:val="en-US" w:eastAsia="zh-CN"/>
        </w:rPr>
        <w:t>水体保护</w:t>
      </w:r>
      <w:r>
        <w:rPr>
          <w:rFonts w:hint="eastAsia" w:ascii="宋体" w:hAnsi="宋体" w:eastAsia="宋体"/>
          <w:color w:val="auto"/>
          <w:lang w:val="en-US" w:eastAsia="zh-CN"/>
        </w:rPr>
        <w:t>，</w:t>
      </w:r>
      <w:r>
        <w:rPr>
          <w:rFonts w:hint="default" w:ascii="宋体" w:hAnsi="宋体" w:eastAsia="宋体"/>
          <w:color w:val="auto"/>
          <w:lang w:val="en-US" w:eastAsia="zh-CN"/>
        </w:rPr>
        <w:t>水体清洁治理</w:t>
      </w:r>
      <w:r>
        <w:rPr>
          <w:rFonts w:hint="eastAsia" w:ascii="宋体" w:hAnsi="宋体" w:eastAsia="宋体"/>
          <w:color w:val="auto"/>
          <w:lang w:val="en-US" w:eastAsia="zh-CN"/>
        </w:rPr>
        <w:t>，</w:t>
      </w:r>
      <w:r>
        <w:rPr>
          <w:rFonts w:hint="default" w:ascii="宋体" w:hAnsi="宋体" w:eastAsia="宋体"/>
          <w:color w:val="auto"/>
          <w:lang w:val="en-US" w:eastAsia="zh-CN"/>
        </w:rPr>
        <w:t>安全设施完备</w:t>
      </w:r>
      <w:r>
        <w:rPr>
          <w:rFonts w:hint="eastAsia" w:ascii="宋体" w:hAnsi="宋体" w:eastAsia="宋体"/>
          <w:color w:val="auto"/>
          <w:lang w:val="en-US" w:eastAsia="zh-CN"/>
        </w:rPr>
        <w:t>，</w:t>
      </w:r>
      <w:r>
        <w:rPr>
          <w:rFonts w:hint="default" w:ascii="宋体" w:hAnsi="宋体" w:eastAsia="宋体"/>
          <w:color w:val="auto"/>
          <w:lang w:val="en-US" w:eastAsia="zh-CN"/>
        </w:rPr>
        <w:t>结合村庄布局进行景观建设。</w:t>
      </w:r>
    </w:p>
    <w:p w14:paraId="1EFBA5CE">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default" w:ascii="宋体" w:hAnsi="宋体" w:eastAsia="宋体"/>
          <w:color w:val="auto"/>
        </w:rPr>
      </w:pPr>
      <w:r>
        <w:rPr>
          <w:rFonts w:hint="eastAsia" w:ascii="宋体" w:hAnsi="宋体" w:eastAsia="宋体"/>
          <w:color w:val="auto"/>
          <w:lang w:val="en-US" w:eastAsia="zh-CN"/>
        </w:rPr>
        <w:t>加强</w:t>
      </w:r>
      <w:r>
        <w:rPr>
          <w:rFonts w:hint="default" w:ascii="宋体" w:hAnsi="宋体" w:eastAsia="宋体"/>
          <w:color w:val="auto"/>
          <w:lang w:val="en-US" w:eastAsia="zh-CN"/>
        </w:rPr>
        <w:t>山体保护</w:t>
      </w:r>
      <w:r>
        <w:rPr>
          <w:rFonts w:hint="eastAsia" w:ascii="宋体" w:hAnsi="宋体" w:eastAsia="宋体"/>
          <w:color w:val="auto"/>
          <w:lang w:val="en-US" w:eastAsia="zh-CN"/>
        </w:rPr>
        <w:t>，</w:t>
      </w:r>
      <w:r>
        <w:rPr>
          <w:rFonts w:hint="default" w:ascii="宋体" w:hAnsi="宋体" w:eastAsia="宋体"/>
          <w:color w:val="auto"/>
          <w:lang w:val="en-US" w:eastAsia="zh-CN"/>
        </w:rPr>
        <w:t>保持山体稳固</w:t>
      </w:r>
      <w:r>
        <w:rPr>
          <w:rFonts w:hint="eastAsia" w:ascii="宋体" w:hAnsi="宋体" w:eastAsia="宋体"/>
          <w:color w:val="auto"/>
          <w:lang w:val="en-US" w:eastAsia="zh-CN"/>
        </w:rPr>
        <w:t>，</w:t>
      </w:r>
      <w:r>
        <w:rPr>
          <w:rFonts w:hint="default" w:ascii="宋体" w:hAnsi="宋体" w:eastAsia="宋体"/>
          <w:color w:val="auto"/>
          <w:lang w:val="en-US" w:eastAsia="zh-CN"/>
        </w:rPr>
        <w:t>规范取砂取土取石行为。</w:t>
      </w:r>
    </w:p>
    <w:p w14:paraId="24E9E09B">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default" w:ascii="宋体" w:hAnsi="宋体" w:eastAsia="宋体"/>
          <w:color w:val="auto"/>
        </w:rPr>
      </w:pPr>
      <w:r>
        <w:rPr>
          <w:rFonts w:hint="eastAsia" w:ascii="宋体" w:hAnsi="宋体" w:eastAsia="宋体"/>
          <w:color w:val="auto"/>
          <w:lang w:val="en-US" w:eastAsia="zh-CN"/>
        </w:rPr>
        <w:t>加强</w:t>
      </w:r>
      <w:r>
        <w:rPr>
          <w:rFonts w:hint="default" w:ascii="宋体" w:hAnsi="宋体" w:eastAsia="宋体"/>
          <w:color w:val="auto"/>
          <w:lang w:val="en-US" w:eastAsia="zh-CN"/>
        </w:rPr>
        <w:t>农田保护</w:t>
      </w:r>
      <w:r>
        <w:rPr>
          <w:rFonts w:hint="eastAsia" w:ascii="宋体" w:hAnsi="宋体" w:eastAsia="宋体"/>
          <w:color w:val="auto"/>
          <w:lang w:val="en-US" w:eastAsia="zh-CN"/>
        </w:rPr>
        <w:t>，</w:t>
      </w:r>
      <w:r>
        <w:rPr>
          <w:rFonts w:hint="default" w:ascii="宋体" w:hAnsi="宋体" w:eastAsia="宋体"/>
          <w:color w:val="auto"/>
          <w:lang w:val="en-US" w:eastAsia="zh-CN"/>
        </w:rPr>
        <w:t>改善土壤环境,提升农田质量和土壤肥力,对盐碱土地综合治理。</w:t>
      </w:r>
    </w:p>
    <w:p w14:paraId="20045A99">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default" w:ascii="宋体" w:hAnsi="宋体" w:eastAsia="宋体"/>
          <w:color w:val="auto"/>
        </w:rPr>
      </w:pPr>
      <w:r>
        <w:rPr>
          <w:rFonts w:hint="eastAsia" w:ascii="宋体" w:hAnsi="宋体" w:eastAsia="宋体"/>
          <w:color w:val="auto"/>
          <w:lang w:val="en-US" w:eastAsia="zh-CN"/>
        </w:rPr>
        <w:t>加强</w:t>
      </w:r>
      <w:r>
        <w:rPr>
          <w:rFonts w:hint="default" w:ascii="宋体" w:hAnsi="宋体" w:eastAsia="宋体"/>
          <w:color w:val="auto"/>
          <w:lang w:val="en-US" w:eastAsia="zh-CN"/>
        </w:rPr>
        <w:t>植被保护</w:t>
      </w:r>
      <w:r>
        <w:rPr>
          <w:rFonts w:hint="eastAsia" w:ascii="宋体" w:hAnsi="宋体" w:eastAsia="宋体"/>
          <w:color w:val="auto"/>
          <w:lang w:val="en-US" w:eastAsia="zh-CN"/>
        </w:rPr>
        <w:t>，</w:t>
      </w:r>
      <w:r>
        <w:rPr>
          <w:rFonts w:hint="default" w:ascii="宋体" w:hAnsi="宋体" w:eastAsia="宋体"/>
          <w:color w:val="auto"/>
          <w:lang w:val="en-US" w:eastAsia="zh-CN"/>
        </w:rPr>
        <w:t>植被配置科学,加强稀有树种和古树名木的保护措施。</w:t>
      </w:r>
    </w:p>
    <w:p w14:paraId="5CAD7913">
      <w:pPr>
        <w:pStyle w:val="105"/>
        <w:spacing w:before="156" w:after="156"/>
        <w:rPr>
          <w:rFonts w:hint="eastAsia"/>
          <w:color w:val="auto"/>
        </w:rPr>
      </w:pPr>
      <w:bookmarkStart w:id="74" w:name="_Toc16341"/>
      <w:r>
        <w:rPr>
          <w:rFonts w:hint="eastAsia"/>
          <w:color w:val="auto"/>
        </w:rPr>
        <w:t>病媒生物综合防治</w:t>
      </w:r>
      <w:bookmarkEnd w:id="74"/>
    </w:p>
    <w:p w14:paraId="6457D429">
      <w:pPr>
        <w:pStyle w:val="56"/>
        <w:rPr>
          <w:rFonts w:hint="eastAsia"/>
          <w:color w:val="auto"/>
        </w:rPr>
      </w:pPr>
      <w:r>
        <w:rPr>
          <w:rFonts w:hint="eastAsia"/>
          <w:color w:val="auto"/>
        </w:rPr>
        <w:t>按照GB/T 27774的要求组织进行鼠、蝇、蚊、蟑螂等病媒生物综合防治。</w:t>
      </w:r>
    </w:p>
    <w:p w14:paraId="46D5714D">
      <w:pPr>
        <w:pStyle w:val="105"/>
        <w:spacing w:before="156" w:after="156"/>
        <w:rPr>
          <w:color w:val="auto"/>
        </w:rPr>
      </w:pPr>
      <w:bookmarkStart w:id="75" w:name="_Toc29491"/>
      <w:r>
        <w:rPr>
          <w:rFonts w:hint="eastAsia"/>
          <w:color w:val="auto"/>
        </w:rPr>
        <w:t>村容村貌</w:t>
      </w:r>
      <w:bookmarkEnd w:id="75"/>
    </w:p>
    <w:p w14:paraId="70A1DEBC">
      <w:pPr>
        <w:pStyle w:val="65"/>
        <w:spacing w:before="156" w:after="156"/>
        <w:rPr>
          <w:rFonts w:hint="eastAsia" w:ascii="黑体" w:hAnsi="黑体" w:eastAsia="黑体" w:cs="黑体"/>
          <w:color w:val="auto"/>
        </w:rPr>
      </w:pPr>
      <w:r>
        <w:rPr>
          <w:rFonts w:hint="eastAsia" w:ascii="黑体" w:hAnsi="黑体" w:eastAsia="黑体" w:cs="黑体"/>
          <w:color w:val="auto"/>
          <w:lang w:val="en-US" w:eastAsia="zh-CN"/>
        </w:rPr>
        <w:t>村庄</w:t>
      </w:r>
      <w:r>
        <w:rPr>
          <w:rFonts w:hint="eastAsia" w:ascii="黑体" w:hAnsi="黑体" w:eastAsia="黑体" w:cs="黑体"/>
          <w:color w:val="auto"/>
        </w:rPr>
        <w:t>绿化</w:t>
      </w:r>
    </w:p>
    <w:p w14:paraId="06230B80">
      <w:pPr>
        <w:pStyle w:val="94"/>
        <w:keepNext w:val="0"/>
        <w:keepLines w:val="0"/>
        <w:pageBreakBefore w:val="0"/>
        <w:widowControl/>
        <w:kinsoku/>
        <w:wordWrap/>
        <w:overflowPunct/>
        <w:topLinePunct w:val="0"/>
        <w:bidi w:val="0"/>
        <w:adjustRightInd/>
        <w:snapToGrid/>
        <w:spacing w:before="0" w:beforeLines="0" w:after="0" w:afterLines="0"/>
        <w:textAlignment w:val="auto"/>
        <w:rPr>
          <w:rFonts w:ascii="宋体" w:hAnsi="宋体" w:eastAsia="宋体" w:cs="宋体"/>
          <w:color w:val="auto"/>
        </w:rPr>
      </w:pPr>
      <w:r>
        <w:rPr>
          <w:rFonts w:hint="eastAsia" w:ascii="宋体" w:hAnsi="宋体" w:eastAsia="宋体" w:cs="宋体"/>
          <w:color w:val="auto"/>
        </w:rPr>
        <w:t>村庄内可绿化隙地绿化率达到80%以上，宜采用本地果树林木花草品种，兼顾生态、经济和景观效果。并满足以下要求：</w:t>
      </w:r>
    </w:p>
    <w:p w14:paraId="3ABE06E4">
      <w:pPr>
        <w:pStyle w:val="56"/>
        <w:keepNext w:val="0"/>
        <w:keepLines w:val="0"/>
        <w:pageBreakBefore w:val="0"/>
        <w:widowControl/>
        <w:kinsoku/>
        <w:wordWrap/>
        <w:overflowPunct/>
        <w:topLinePunct w:val="0"/>
        <w:bidi w:val="0"/>
        <w:adjustRightInd/>
        <w:snapToGrid/>
        <w:ind w:firstLine="420"/>
        <w:textAlignment w:val="auto"/>
        <w:rPr>
          <w:rFonts w:hAnsi="宋体" w:cs="宋体"/>
          <w:color w:val="auto"/>
        </w:rPr>
      </w:pPr>
      <w:r>
        <w:rPr>
          <w:rFonts w:hint="eastAsia" w:hAnsi="宋体" w:cs="宋体"/>
          <w:color w:val="auto"/>
        </w:rPr>
        <w:t>——村庄农户房前屋后院内、村道巷道、村边水边、空地闲地基本实现绿化美化；</w:t>
      </w:r>
    </w:p>
    <w:p w14:paraId="62F1D735">
      <w:pPr>
        <w:pStyle w:val="56"/>
        <w:keepNext w:val="0"/>
        <w:keepLines w:val="0"/>
        <w:pageBreakBefore w:val="0"/>
        <w:widowControl/>
        <w:kinsoku/>
        <w:wordWrap/>
        <w:overflowPunct/>
        <w:topLinePunct w:val="0"/>
        <w:bidi w:val="0"/>
        <w:adjustRightInd/>
        <w:snapToGrid/>
        <w:ind w:firstLine="420"/>
        <w:textAlignment w:val="auto"/>
        <w:rPr>
          <w:rFonts w:hAnsi="宋体" w:cs="宋体"/>
          <w:color w:val="auto"/>
        </w:rPr>
      </w:pPr>
      <w:r>
        <w:rPr>
          <w:rFonts w:hint="eastAsia" w:hAnsi="宋体" w:cs="宋体"/>
          <w:color w:val="auto"/>
        </w:rPr>
        <w:t>——村内主要道路等通道两侧可绿化地段，至少栽植乔灌树木或花草绿化1行以上。</w:t>
      </w:r>
    </w:p>
    <w:p w14:paraId="02527E09">
      <w:pPr>
        <w:pStyle w:val="94"/>
        <w:keepNext w:val="0"/>
        <w:keepLines w:val="0"/>
        <w:pageBreakBefore w:val="0"/>
        <w:widowControl/>
        <w:kinsoku/>
        <w:wordWrap/>
        <w:overflowPunct/>
        <w:topLinePunct w:val="0"/>
        <w:bidi w:val="0"/>
        <w:adjustRightInd/>
        <w:snapToGrid/>
        <w:spacing w:before="0" w:beforeLines="0" w:after="0" w:afterLines="0"/>
        <w:textAlignment w:val="auto"/>
        <w:rPr>
          <w:rFonts w:ascii="宋体" w:hAnsi="宋体" w:eastAsia="宋体" w:cs="宋体"/>
          <w:color w:val="auto"/>
        </w:rPr>
      </w:pPr>
      <w:r>
        <w:rPr>
          <w:rFonts w:hint="eastAsia" w:ascii="宋体" w:hAnsi="宋体" w:eastAsia="宋体" w:cs="宋体"/>
          <w:color w:val="auto"/>
        </w:rPr>
        <w:t>推进村旁、路旁、水旁、宅旁的“四旁”绿化建设，充分利用村内闲置土地开展村内绿化美化。并满足以下要求：</w:t>
      </w:r>
    </w:p>
    <w:p w14:paraId="2A18910A">
      <w:pPr>
        <w:pStyle w:val="56"/>
        <w:keepNext w:val="0"/>
        <w:keepLines w:val="0"/>
        <w:pageBreakBefore w:val="0"/>
        <w:widowControl/>
        <w:kinsoku/>
        <w:wordWrap/>
        <w:overflowPunct/>
        <w:topLinePunct w:val="0"/>
        <w:bidi w:val="0"/>
        <w:adjustRightInd/>
        <w:snapToGrid/>
        <w:ind w:firstLine="420"/>
        <w:textAlignment w:val="auto"/>
        <w:rPr>
          <w:rFonts w:hAnsi="宋体"/>
          <w:color w:val="auto"/>
        </w:rPr>
      </w:pPr>
      <w:r>
        <w:rPr>
          <w:rFonts w:hint="eastAsia" w:hAnsi="宋体" w:cs="宋体"/>
          <w:color w:val="auto"/>
        </w:rPr>
        <w:t>——村旁绿化以乔木、果树为</w:t>
      </w:r>
      <w:r>
        <w:rPr>
          <w:rFonts w:hint="eastAsia" w:hAnsi="宋体"/>
          <w:color w:val="auto"/>
        </w:rPr>
        <w:t>主，也可根据实际种植农田经济作物；</w:t>
      </w:r>
    </w:p>
    <w:p w14:paraId="5C0E19AF">
      <w:pPr>
        <w:pStyle w:val="56"/>
        <w:keepNext w:val="0"/>
        <w:keepLines w:val="0"/>
        <w:pageBreakBefore w:val="0"/>
        <w:widowControl/>
        <w:kinsoku/>
        <w:wordWrap/>
        <w:overflowPunct/>
        <w:topLinePunct w:val="0"/>
        <w:bidi w:val="0"/>
        <w:adjustRightInd/>
        <w:snapToGrid/>
        <w:ind w:firstLine="420"/>
        <w:textAlignment w:val="auto"/>
        <w:rPr>
          <w:rFonts w:hAnsi="宋体"/>
          <w:color w:val="auto"/>
        </w:rPr>
      </w:pPr>
      <w:r>
        <w:rPr>
          <w:rFonts w:hint="eastAsia" w:hAnsi="宋体"/>
          <w:color w:val="auto"/>
        </w:rPr>
        <w:t>——路旁绿化注重安全性、经济性和舒适性，道路两侧植物配置</w:t>
      </w:r>
      <w:r>
        <w:rPr>
          <w:rFonts w:hint="eastAsia" w:hAnsi="宋体"/>
          <w:color w:val="auto"/>
          <w:lang w:eastAsia="zh-CN"/>
        </w:rPr>
        <w:t>宜</w:t>
      </w:r>
      <w:r>
        <w:rPr>
          <w:rFonts w:hint="eastAsia" w:hAnsi="宋体"/>
          <w:color w:val="auto"/>
        </w:rPr>
        <w:t>保证道路行车视线安全，不影响道路正常通行。宜选用本土树种、花卉，突出乡土特色，也可结合村民意愿和村庄产业发展需要，种植具有观赏价值的果蔬、特色农作物等；</w:t>
      </w:r>
    </w:p>
    <w:p w14:paraId="0425D0E6">
      <w:pPr>
        <w:pStyle w:val="56"/>
        <w:keepNext w:val="0"/>
        <w:keepLines w:val="0"/>
        <w:pageBreakBefore w:val="0"/>
        <w:widowControl/>
        <w:kinsoku/>
        <w:wordWrap/>
        <w:overflowPunct/>
        <w:topLinePunct w:val="0"/>
        <w:bidi w:val="0"/>
        <w:adjustRightInd/>
        <w:snapToGrid/>
        <w:ind w:firstLine="420"/>
        <w:textAlignment w:val="auto"/>
        <w:rPr>
          <w:rFonts w:hAnsi="宋体"/>
          <w:color w:val="auto"/>
        </w:rPr>
      </w:pPr>
      <w:r>
        <w:rPr>
          <w:rFonts w:hint="eastAsia" w:hAnsi="宋体"/>
          <w:color w:val="auto"/>
        </w:rPr>
        <w:t>——水旁绿化</w:t>
      </w:r>
      <w:r>
        <w:rPr>
          <w:rFonts w:hint="eastAsia" w:hAnsi="宋体"/>
          <w:color w:val="auto"/>
          <w:lang w:eastAsia="zh-CN"/>
        </w:rPr>
        <w:t>宜</w:t>
      </w:r>
      <w:r>
        <w:rPr>
          <w:rFonts w:hint="eastAsia" w:hAnsi="宋体"/>
          <w:color w:val="auto"/>
        </w:rPr>
        <w:t>避免使用连续硬质驳岸和陡坡，宜采用自然生态驳岸，河流水系两侧绿化覆盖率不宜低于90%；</w:t>
      </w:r>
    </w:p>
    <w:p w14:paraId="39FD417E">
      <w:pPr>
        <w:pStyle w:val="56"/>
        <w:keepNext w:val="0"/>
        <w:keepLines w:val="0"/>
        <w:pageBreakBefore w:val="0"/>
        <w:widowControl/>
        <w:kinsoku/>
        <w:wordWrap/>
        <w:overflowPunct/>
        <w:topLinePunct w:val="0"/>
        <w:bidi w:val="0"/>
        <w:adjustRightInd/>
        <w:snapToGrid/>
        <w:ind w:firstLine="420"/>
        <w:textAlignment w:val="auto"/>
        <w:rPr>
          <w:rFonts w:hAnsi="宋体"/>
          <w:color w:val="auto"/>
        </w:rPr>
      </w:pPr>
      <w:r>
        <w:rPr>
          <w:rFonts w:hint="eastAsia" w:hAnsi="宋体"/>
          <w:color w:val="auto"/>
        </w:rPr>
        <w:t>——宅旁绿化以小尺度绿化景观为主，见缝插绿、不留裸土，以小乔木与花灌木为主，种植瓜果蔬菜为辅。</w:t>
      </w:r>
    </w:p>
    <w:p w14:paraId="2E21E922">
      <w:pPr>
        <w:pStyle w:val="94"/>
        <w:keepNext w:val="0"/>
        <w:keepLines w:val="0"/>
        <w:pageBreakBefore w:val="0"/>
        <w:widowControl/>
        <w:kinsoku/>
        <w:wordWrap/>
        <w:overflowPunct/>
        <w:topLinePunct w:val="0"/>
        <w:bidi w:val="0"/>
        <w:adjustRightInd/>
        <w:snapToGrid/>
        <w:spacing w:before="0" w:beforeLines="0" w:after="0" w:afterLines="0"/>
        <w:textAlignment w:val="auto"/>
        <w:rPr>
          <w:rFonts w:ascii="宋体" w:hAnsi="宋体" w:eastAsia="宋体" w:cs="宋体"/>
          <w:color w:val="auto"/>
        </w:rPr>
      </w:pPr>
      <w:r>
        <w:rPr>
          <w:rFonts w:hint="eastAsia" w:ascii="宋体" w:hAnsi="宋体" w:eastAsia="宋体" w:cs="宋体"/>
          <w:color w:val="auto"/>
        </w:rPr>
        <w:t>公共场地绿化配置宜简洁实用、自然、亲切、宜人，</w:t>
      </w:r>
      <w:r>
        <w:rPr>
          <w:rFonts w:hint="eastAsia" w:ascii="宋体" w:hAnsi="宋体" w:eastAsia="宋体" w:cs="宋体"/>
          <w:color w:val="auto"/>
          <w:lang w:eastAsia="zh-CN"/>
        </w:rPr>
        <w:t>宜</w:t>
      </w:r>
      <w:r>
        <w:rPr>
          <w:rFonts w:hint="eastAsia" w:ascii="宋体" w:hAnsi="宋体" w:eastAsia="宋体" w:cs="宋体"/>
          <w:color w:val="auto"/>
        </w:rPr>
        <w:t>尽量利用道路两侧或不利于建设的地块，以及零星空地，相对组团式建设公共绿化空间。宜采用可进入式绿地，因地制宜选择自然生态或规则式的绿化方式。</w:t>
      </w:r>
    </w:p>
    <w:p w14:paraId="0EF3494A">
      <w:pPr>
        <w:pStyle w:val="94"/>
        <w:keepNext w:val="0"/>
        <w:keepLines w:val="0"/>
        <w:pageBreakBefore w:val="0"/>
        <w:widowControl/>
        <w:kinsoku/>
        <w:wordWrap/>
        <w:overflowPunct/>
        <w:topLinePunct w:val="0"/>
        <w:bidi w:val="0"/>
        <w:adjustRightInd/>
        <w:snapToGrid/>
        <w:spacing w:before="0" w:beforeLines="0" w:after="0" w:afterLines="0"/>
        <w:textAlignment w:val="auto"/>
        <w:rPr>
          <w:rFonts w:ascii="宋体" w:hAnsi="宋体" w:eastAsia="宋体" w:cs="宋体"/>
          <w:color w:val="auto"/>
        </w:rPr>
      </w:pPr>
      <w:r>
        <w:rPr>
          <w:rFonts w:hint="eastAsia" w:ascii="宋体" w:hAnsi="宋体" w:eastAsia="宋体" w:cs="宋体"/>
          <w:color w:val="auto"/>
        </w:rPr>
        <w:t>村庄绿化应符合乡村绿化技术规程LY/T 2645，植树成活率（保存率）达到95%以上（含95%）。</w:t>
      </w:r>
    </w:p>
    <w:p w14:paraId="2FC100B4">
      <w:pPr>
        <w:pStyle w:val="65"/>
        <w:spacing w:before="156" w:after="156"/>
        <w:rPr>
          <w:rFonts w:hint="eastAsia" w:ascii="黑体" w:hAnsi="黑体" w:eastAsia="黑体" w:cs="黑体"/>
          <w:color w:val="auto"/>
        </w:rPr>
      </w:pPr>
      <w:r>
        <w:rPr>
          <w:rFonts w:hint="eastAsia" w:ascii="黑体" w:hAnsi="黑体" w:eastAsia="黑体" w:cs="黑体"/>
          <w:color w:val="auto"/>
        </w:rPr>
        <w:t>公共空间</w:t>
      </w:r>
    </w:p>
    <w:p w14:paraId="68C75263">
      <w:pPr>
        <w:pStyle w:val="9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ascii="宋体" w:hAnsi="宋体" w:eastAsia="宋体" w:cs="宋体"/>
          <w:color w:val="auto"/>
        </w:rPr>
      </w:pPr>
      <w:r>
        <w:rPr>
          <w:rFonts w:hint="eastAsia" w:ascii="宋体" w:hAnsi="宋体" w:eastAsia="宋体" w:cs="宋体"/>
          <w:color w:val="auto"/>
        </w:rPr>
        <w:t>生产生活用品无违规占道、乱搭乱建、车辆乱停乱放等现象</w:t>
      </w:r>
      <w:r>
        <w:rPr>
          <w:rFonts w:hint="eastAsia" w:ascii="宋体" w:hAnsi="宋体" w:eastAsia="宋体" w:cs="宋体"/>
          <w:color w:val="auto"/>
          <w:lang w:eastAsia="zh-CN"/>
        </w:rPr>
        <w:t>，</w:t>
      </w:r>
      <w:r>
        <w:rPr>
          <w:rFonts w:hint="eastAsia" w:ascii="宋体" w:hAnsi="宋体" w:eastAsia="宋体" w:cs="宋体"/>
          <w:color w:val="auto"/>
        </w:rPr>
        <w:t>路面、公共场所洁净无垃圾、无积水</w:t>
      </w:r>
      <w:r>
        <w:rPr>
          <w:rFonts w:hint="eastAsia" w:ascii="宋体" w:hAnsi="宋体" w:eastAsia="宋体" w:cs="宋体"/>
          <w:color w:val="auto"/>
          <w:lang w:eastAsia="zh-CN"/>
        </w:rPr>
        <w:t>，</w:t>
      </w:r>
      <w:r>
        <w:rPr>
          <w:rFonts w:hint="eastAsia" w:ascii="宋体" w:hAnsi="宋体" w:eastAsia="宋体" w:cs="宋体"/>
          <w:color w:val="auto"/>
        </w:rPr>
        <w:t>各类设施管道、线路搭建规整，沿街立面整洁美观。</w:t>
      </w:r>
    </w:p>
    <w:p w14:paraId="3F6AFEE8">
      <w:pPr>
        <w:pStyle w:val="9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ascii="宋体" w:hAnsi="宋体" w:eastAsia="宋体" w:cs="宋体"/>
          <w:color w:val="auto"/>
        </w:rPr>
      </w:pPr>
      <w:r>
        <w:rPr>
          <w:rFonts w:hint="eastAsia" w:ascii="宋体" w:hAnsi="宋体" w:eastAsia="宋体" w:cs="宋体"/>
          <w:color w:val="auto"/>
        </w:rPr>
        <w:t>结合当地文化和村庄布局，建设公共活动场地、体育健身场地、文化景观广场等公共开敞空间。</w:t>
      </w:r>
    </w:p>
    <w:p w14:paraId="49DFD86A">
      <w:pPr>
        <w:pStyle w:val="9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ascii="宋体" w:hAnsi="宋体" w:eastAsia="宋体" w:cs="宋体"/>
          <w:color w:val="auto"/>
        </w:rPr>
      </w:pPr>
      <w:r>
        <w:rPr>
          <w:rFonts w:hint="eastAsia" w:ascii="宋体" w:hAnsi="宋体" w:eastAsia="宋体" w:cs="宋体"/>
          <w:color w:val="auto"/>
        </w:rPr>
        <w:t>村口</w:t>
      </w:r>
      <w:r>
        <w:rPr>
          <w:rFonts w:hint="eastAsia" w:ascii="宋体" w:hAnsi="宋体" w:eastAsia="宋体" w:cs="宋体"/>
          <w:color w:val="auto"/>
          <w:lang w:eastAsia="zh-CN"/>
        </w:rPr>
        <w:t>宜</w:t>
      </w:r>
      <w:r>
        <w:rPr>
          <w:rFonts w:hint="eastAsia" w:ascii="宋体" w:hAnsi="宋体" w:eastAsia="宋体" w:cs="宋体"/>
          <w:color w:val="auto"/>
        </w:rPr>
        <w:t>设有村名标识，标识、招牌</w:t>
      </w:r>
      <w:r>
        <w:rPr>
          <w:rFonts w:hint="eastAsia" w:ascii="宋体" w:hAnsi="宋体" w:eastAsia="宋体" w:cs="宋体"/>
          <w:color w:val="auto"/>
          <w:lang w:eastAsia="zh-CN"/>
        </w:rPr>
        <w:t>宜</w:t>
      </w:r>
      <w:r>
        <w:rPr>
          <w:rFonts w:hint="eastAsia" w:ascii="宋体" w:hAnsi="宋体" w:eastAsia="宋体" w:cs="宋体"/>
          <w:color w:val="auto"/>
        </w:rPr>
        <w:t>易于识别、方便使用，体现当地文化特色和乡土风情</w:t>
      </w:r>
      <w:r>
        <w:rPr>
          <w:rFonts w:hint="eastAsia" w:ascii="宋体" w:hAnsi="宋体" w:eastAsia="宋体" w:cs="宋体"/>
          <w:color w:val="auto"/>
          <w:lang w:eastAsia="zh-CN"/>
        </w:rPr>
        <w:t>，</w:t>
      </w:r>
      <w:r>
        <w:rPr>
          <w:rFonts w:hint="eastAsia" w:ascii="Times New Roman" w:hAnsi="Times New Roman" w:eastAsia="宋体" w:cs="Times New Roman"/>
          <w:color w:val="auto"/>
          <w:sz w:val="21"/>
          <w:szCs w:val="21"/>
          <w:vertAlign w:val="baseline"/>
        </w:rPr>
        <w:t>不得贪大求洋、铺张浪费</w:t>
      </w:r>
      <w:r>
        <w:rPr>
          <w:rFonts w:hint="eastAsia" w:ascii="宋体" w:hAnsi="宋体" w:eastAsia="宋体" w:cs="宋体"/>
          <w:color w:val="auto"/>
        </w:rPr>
        <w:t>。</w:t>
      </w:r>
    </w:p>
    <w:p w14:paraId="3D6DB764">
      <w:pPr>
        <w:pStyle w:val="9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ascii="宋体" w:hAnsi="宋体" w:eastAsia="宋体" w:cs="宋体"/>
          <w:color w:val="auto"/>
        </w:rPr>
      </w:pPr>
      <w:r>
        <w:rPr>
          <w:rFonts w:hint="eastAsia" w:ascii="宋体" w:hAnsi="宋体" w:eastAsia="宋体" w:cs="宋体"/>
          <w:color w:val="auto"/>
        </w:rPr>
        <w:t>围绕“八古三口”打造小品节点，美化古建筑、古木、古井、古路、古庙、古戏台、古桥、古塘等遗存，扮靓村庄入口、住宅门口和道路交叉口。</w:t>
      </w:r>
    </w:p>
    <w:p w14:paraId="2390F9C2">
      <w:pPr>
        <w:pStyle w:val="9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ascii="宋体" w:hAnsi="宋体" w:eastAsia="宋体" w:cs="宋体"/>
          <w:color w:val="auto"/>
        </w:rPr>
      </w:pPr>
      <w:r>
        <w:rPr>
          <w:rFonts w:hint="eastAsia" w:ascii="宋体" w:hAnsi="宋体" w:eastAsia="宋体" w:cs="宋体"/>
          <w:color w:val="auto"/>
        </w:rPr>
        <w:t>建筑立面、宣传栏、广告牌等整洁有序、色彩协调。</w:t>
      </w:r>
    </w:p>
    <w:p w14:paraId="35FAD205">
      <w:pPr>
        <w:pStyle w:val="9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ascii="宋体" w:hAnsi="宋体" w:eastAsia="宋体" w:cs="宋体"/>
          <w:color w:val="auto"/>
        </w:rPr>
      </w:pPr>
      <w:r>
        <w:rPr>
          <w:rFonts w:hint="eastAsia" w:ascii="宋体" w:hAnsi="宋体" w:eastAsia="宋体" w:cs="宋体"/>
          <w:color w:val="auto"/>
        </w:rPr>
        <w:t>严格保护历史文化名村、传统村落、文保单位、历史建筑、古树名木，无人为破坏现象，并按保护要求设置保护标志、指示牌。历史建筑挂牌保护率、古树名木登记挂牌率应达到 100%。</w:t>
      </w:r>
    </w:p>
    <w:p w14:paraId="4D324F07">
      <w:pPr>
        <w:pStyle w:val="65"/>
        <w:spacing w:before="156" w:after="156"/>
        <w:rPr>
          <w:rFonts w:hint="eastAsia" w:ascii="黑体" w:hAnsi="黑体" w:eastAsia="黑体" w:cs="黑体"/>
          <w:color w:val="auto"/>
        </w:rPr>
      </w:pPr>
      <w:r>
        <w:rPr>
          <w:rFonts w:hint="eastAsia" w:ascii="黑体" w:hAnsi="黑体" w:eastAsia="黑体" w:cs="黑体"/>
          <w:color w:val="auto"/>
        </w:rPr>
        <w:t>庭院环境</w:t>
      </w:r>
    </w:p>
    <w:p w14:paraId="65E66C9A">
      <w:pPr>
        <w:pStyle w:val="9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ascii="宋体" w:hAnsi="宋体" w:eastAsia="宋体" w:cs="宋体"/>
          <w:color w:val="auto"/>
        </w:rPr>
      </w:pPr>
      <w:r>
        <w:rPr>
          <w:rFonts w:hint="eastAsia" w:ascii="宋体" w:hAnsi="宋体" w:eastAsia="宋体" w:cs="宋体"/>
          <w:color w:val="auto"/>
        </w:rPr>
        <w:t>庭院功能分区合理，内外环境整洁，物放有序，地面平整、干净，无乱挂乱晒、私搭违建。畜禽圈舍进院，圈舍干净。厕所要有墙、有顶、有门，粪便无害处理。</w:t>
      </w:r>
    </w:p>
    <w:p w14:paraId="6E7A9B88">
      <w:pPr>
        <w:pStyle w:val="9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ascii="宋体" w:hAnsi="宋体" w:eastAsia="宋体" w:cs="宋体"/>
          <w:color w:val="auto"/>
        </w:rPr>
      </w:pPr>
      <w:r>
        <w:rPr>
          <w:rFonts w:hint="eastAsia" w:ascii="Times New Roman" w:hAnsi="Times New Roman" w:eastAsia="宋体" w:cs="Times New Roman"/>
          <w:color w:val="auto"/>
          <w:sz w:val="21"/>
          <w:szCs w:val="21"/>
          <w:vertAlign w:val="baseline"/>
        </w:rPr>
        <w:t>房前屋后空地</w:t>
      </w:r>
      <w:r>
        <w:rPr>
          <w:rFonts w:hint="eastAsia" w:ascii="Times New Roman" w:hAnsi="Times New Roman" w:eastAsia="宋体" w:cs="Times New Roman"/>
          <w:color w:val="auto"/>
          <w:sz w:val="21"/>
          <w:szCs w:val="21"/>
          <w:vertAlign w:val="baseline"/>
          <w:lang w:val="en-US" w:eastAsia="zh-CN"/>
        </w:rPr>
        <w:t>宜</w:t>
      </w:r>
      <w:r>
        <w:rPr>
          <w:rFonts w:hint="eastAsia" w:ascii="Times New Roman" w:hAnsi="Times New Roman" w:eastAsia="宋体" w:cs="Times New Roman"/>
          <w:color w:val="auto"/>
          <w:sz w:val="21"/>
          <w:szCs w:val="21"/>
          <w:vertAlign w:val="baseline"/>
        </w:rPr>
        <w:t>栽种花草或树木，形成小菜园、小花园、小果园</w:t>
      </w:r>
      <w:r>
        <w:rPr>
          <w:rFonts w:hint="eastAsia" w:ascii="Times New Roman" w:eastAsia="宋体" w:cs="Times New Roman"/>
          <w:color w:val="auto"/>
          <w:sz w:val="21"/>
          <w:szCs w:val="21"/>
          <w:vertAlign w:val="baseline"/>
          <w:lang w:eastAsia="zh-CN"/>
        </w:rPr>
        <w:t>。</w:t>
      </w:r>
    </w:p>
    <w:p w14:paraId="17067720">
      <w:pPr>
        <w:pStyle w:val="9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ascii="宋体" w:hAnsi="宋体" w:eastAsia="宋体" w:cs="宋体"/>
          <w:color w:val="auto"/>
        </w:rPr>
      </w:pPr>
      <w:r>
        <w:rPr>
          <w:rFonts w:hint="eastAsia" w:ascii="宋体" w:hAnsi="宋体" w:eastAsia="宋体" w:cs="宋体"/>
          <w:color w:val="auto"/>
        </w:rPr>
        <w:t>庭院围墙完好整洁美观，围墙上无乱堆乱放，无随意张贴、涂写、悬挂小广告；围墙上花盆、绿植应摆放整齐。庭院围墙</w:t>
      </w:r>
      <w:r>
        <w:rPr>
          <w:rFonts w:hint="eastAsia" w:ascii="宋体" w:hAnsi="宋体" w:eastAsia="宋体" w:cs="宋体"/>
          <w:color w:val="auto"/>
          <w:lang w:eastAsia="zh-CN"/>
        </w:rPr>
        <w:t>宜</w:t>
      </w:r>
      <w:r>
        <w:rPr>
          <w:rFonts w:hint="eastAsia" w:ascii="宋体" w:hAnsi="宋体" w:eastAsia="宋体" w:cs="宋体"/>
          <w:color w:val="auto"/>
        </w:rPr>
        <w:t>就地取材、突出特色，护院门美观大方，风格与围墙形式相得益彰。</w:t>
      </w:r>
    </w:p>
    <w:p w14:paraId="13EF880B">
      <w:pPr>
        <w:pStyle w:val="104"/>
        <w:spacing w:before="312" w:after="312"/>
        <w:rPr>
          <w:color w:val="auto"/>
        </w:rPr>
      </w:pPr>
      <w:bookmarkStart w:id="76" w:name="_Toc30617"/>
      <w:r>
        <w:rPr>
          <w:rFonts w:hint="eastAsia"/>
          <w:color w:val="auto"/>
        </w:rPr>
        <w:t>公共服务</w:t>
      </w:r>
      <w:bookmarkEnd w:id="76"/>
    </w:p>
    <w:p w14:paraId="30A92AFC">
      <w:pPr>
        <w:pStyle w:val="105"/>
        <w:spacing w:before="156" w:after="156"/>
        <w:rPr>
          <w:color w:val="auto"/>
        </w:rPr>
      </w:pPr>
      <w:bookmarkStart w:id="77" w:name="_Toc20508"/>
      <w:r>
        <w:rPr>
          <w:rFonts w:hint="eastAsia"/>
          <w:color w:val="auto"/>
        </w:rPr>
        <w:t>农村教育</w:t>
      </w:r>
      <w:bookmarkEnd w:id="77"/>
    </w:p>
    <w:p w14:paraId="5332838F">
      <w:pPr>
        <w:pStyle w:val="165"/>
        <w:rPr>
          <w:rFonts w:ascii="宋体" w:hAnsi="宋体" w:eastAsia="宋体"/>
          <w:color w:val="auto"/>
        </w:rPr>
      </w:pPr>
      <w:r>
        <w:rPr>
          <w:rFonts w:hint="eastAsia" w:ascii="宋体" w:hAnsi="宋体" w:eastAsia="宋体"/>
          <w:color w:val="auto"/>
        </w:rPr>
        <w:t>农村义务教育学校基本办学条件持续改善，农村普惠性学前教育资源供给增加。</w:t>
      </w:r>
    </w:p>
    <w:p w14:paraId="661BE24A">
      <w:pPr>
        <w:pStyle w:val="165"/>
        <w:rPr>
          <w:rFonts w:ascii="宋体" w:hAnsi="宋体" w:eastAsia="宋体"/>
          <w:color w:val="auto"/>
        </w:rPr>
      </w:pPr>
      <w:r>
        <w:rPr>
          <w:rFonts w:hint="eastAsia" w:ascii="宋体" w:hAnsi="宋体" w:eastAsia="宋体"/>
          <w:color w:val="auto"/>
        </w:rPr>
        <w:t>保留并办好必要的农村小规模学校和教学点，根据人口情况分配教育资源，普及学前教育和九年义务教育，</w:t>
      </w:r>
      <w:r>
        <w:rPr>
          <w:rFonts w:hint="eastAsia"/>
          <w:color w:val="auto"/>
        </w:rPr>
        <w:t>学前教育普惠率达到8</w:t>
      </w:r>
      <w:r>
        <w:rPr>
          <w:rFonts w:hint="eastAsia"/>
          <w:color w:val="auto"/>
          <w:lang w:val="en-US" w:eastAsia="zh-CN"/>
        </w:rPr>
        <w:t>0</w:t>
      </w:r>
      <w:r>
        <w:rPr>
          <w:rFonts w:hint="eastAsia"/>
          <w:color w:val="auto"/>
        </w:rPr>
        <w:t>%以上</w:t>
      </w:r>
      <w:r>
        <w:rPr>
          <w:rFonts w:hint="eastAsia"/>
          <w:color w:val="auto"/>
          <w:lang w:eastAsia="zh-CN"/>
        </w:rPr>
        <w:t>，</w:t>
      </w:r>
      <w:r>
        <w:rPr>
          <w:rFonts w:hint="eastAsia" w:ascii="宋体" w:hAnsi="宋体" w:eastAsia="宋体"/>
          <w:color w:val="auto"/>
        </w:rPr>
        <w:t>九年义务教育目标人群覆盖率达到100%</w:t>
      </w:r>
      <w:r>
        <w:rPr>
          <w:rFonts w:hint="eastAsia" w:hAnsi="宋体"/>
          <w:color w:val="auto"/>
          <w:lang w:eastAsia="zh-CN"/>
        </w:rPr>
        <w:t>，</w:t>
      </w:r>
      <w:r>
        <w:rPr>
          <w:rFonts w:ascii="Helvetica" w:hAnsi="Helvetica" w:eastAsia="Helvetica" w:cs="Helvetica"/>
          <w:i w:val="0"/>
          <w:iCs w:val="0"/>
          <w:caps w:val="0"/>
          <w:color w:val="auto"/>
          <w:spacing w:val="0"/>
          <w:sz w:val="21"/>
          <w:szCs w:val="21"/>
          <w:shd w:val="clear" w:fill="FFFFFF"/>
        </w:rPr>
        <w:t>九年义务教育巩固率为9</w:t>
      </w:r>
      <w:r>
        <w:rPr>
          <w:rFonts w:hint="eastAsia" w:ascii="Helvetica" w:hAnsi="Helvetica" w:eastAsia="宋体" w:cs="Helvetica"/>
          <w:i w:val="0"/>
          <w:iCs w:val="0"/>
          <w:caps w:val="0"/>
          <w:color w:val="auto"/>
          <w:spacing w:val="0"/>
          <w:sz w:val="21"/>
          <w:szCs w:val="21"/>
          <w:shd w:val="clear" w:fill="FFFFFF"/>
          <w:lang w:val="en-US" w:eastAsia="zh-CN"/>
        </w:rPr>
        <w:t>8.8</w:t>
      </w:r>
      <w:r>
        <w:rPr>
          <w:rFonts w:ascii="Helvetica" w:hAnsi="Helvetica" w:eastAsia="Helvetica" w:cs="Helvetica"/>
          <w:i w:val="0"/>
          <w:iCs w:val="0"/>
          <w:caps w:val="0"/>
          <w:color w:val="auto"/>
          <w:spacing w:val="0"/>
          <w:sz w:val="21"/>
          <w:szCs w:val="21"/>
          <w:shd w:val="clear" w:fill="FFFFFF"/>
        </w:rPr>
        <w:t>%</w:t>
      </w:r>
      <w:r>
        <w:rPr>
          <w:rFonts w:hint="eastAsia" w:ascii="宋体" w:hAnsi="宋体" w:eastAsia="宋体"/>
          <w:color w:val="auto"/>
        </w:rPr>
        <w:t>。</w:t>
      </w:r>
    </w:p>
    <w:p w14:paraId="69201B3D">
      <w:pPr>
        <w:pStyle w:val="105"/>
        <w:spacing w:before="156" w:after="156"/>
        <w:rPr>
          <w:color w:val="auto"/>
        </w:rPr>
      </w:pPr>
      <w:bookmarkStart w:id="78" w:name="_Toc4581"/>
      <w:r>
        <w:rPr>
          <w:rFonts w:hint="eastAsia"/>
          <w:color w:val="auto"/>
        </w:rPr>
        <w:t>文化体育</w:t>
      </w:r>
      <w:bookmarkEnd w:id="78"/>
    </w:p>
    <w:p w14:paraId="017642C3">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村庄</w:t>
      </w:r>
      <w:r>
        <w:rPr>
          <w:rFonts w:hint="eastAsia" w:ascii="宋体" w:hAnsi="宋体" w:eastAsia="宋体"/>
          <w:color w:val="auto"/>
          <w:lang w:eastAsia="zh-CN"/>
        </w:rPr>
        <w:t>宜</w:t>
      </w:r>
      <w:r>
        <w:rPr>
          <w:rFonts w:hint="eastAsia" w:ascii="宋体" w:hAnsi="宋体" w:eastAsia="宋体"/>
          <w:color w:val="auto"/>
        </w:rPr>
        <w:t>建有</w:t>
      </w:r>
      <w:r>
        <w:rPr>
          <w:rFonts w:hint="eastAsia" w:ascii="宋体" w:hAnsi="宋体" w:eastAsia="宋体" w:cs="宋体"/>
          <w:color w:val="auto"/>
        </w:rPr>
        <w:t>以党群服务中心为基本阵地</w:t>
      </w:r>
      <w:r>
        <w:rPr>
          <w:rFonts w:hint="eastAsia" w:ascii="宋体" w:hAnsi="宋体" w:eastAsia="宋体" w:cs="宋体"/>
          <w:color w:val="auto"/>
          <w:lang w:eastAsia="zh-CN"/>
        </w:rPr>
        <w:t>，</w:t>
      </w:r>
      <w:r>
        <w:rPr>
          <w:rFonts w:hint="eastAsia" w:ascii="宋体" w:hAnsi="宋体" w:eastAsia="宋体"/>
          <w:color w:val="auto"/>
        </w:rPr>
        <w:t>集文化宣传、</w:t>
      </w:r>
      <w:r>
        <w:rPr>
          <w:rFonts w:hint="eastAsia" w:ascii="宋体" w:hAnsi="宋体" w:eastAsia="宋体"/>
          <w:color w:val="auto"/>
        </w:rPr>
        <w:t>党员教育、科学普及、普法教育、体育健身、技能培训</w:t>
      </w:r>
      <w:r>
        <w:rPr>
          <w:rFonts w:hint="eastAsia" w:ascii="宋体" w:hAnsi="宋体" w:eastAsia="宋体"/>
          <w:color w:val="auto"/>
          <w:lang w:eastAsia="zh-CN"/>
        </w:rPr>
        <w:t>、</w:t>
      </w:r>
      <w:r>
        <w:rPr>
          <w:rFonts w:hint="eastAsia" w:ascii="宋体" w:hAnsi="宋体" w:eastAsia="宋体" w:cs="宋体"/>
          <w:color w:val="auto"/>
        </w:rPr>
        <w:t>会议讲座、书报阅览、音乐欣赏、观影、书画、文娱、茶座</w:t>
      </w:r>
      <w:r>
        <w:rPr>
          <w:rFonts w:hint="eastAsia" w:ascii="宋体" w:hAnsi="宋体" w:eastAsia="宋体"/>
          <w:color w:val="auto"/>
        </w:rPr>
        <w:t>等功能于一体的综合文化服务中心</w:t>
      </w:r>
      <w:r>
        <w:rPr>
          <w:rFonts w:hint="eastAsia" w:ascii="宋体" w:hAnsi="宋体" w:eastAsia="宋体"/>
          <w:color w:val="auto"/>
          <w:lang w:eastAsia="zh-CN"/>
        </w:rPr>
        <w:t>，</w:t>
      </w:r>
      <w:r>
        <w:rPr>
          <w:rFonts w:hint="eastAsia" w:ascii="宋体" w:hAnsi="宋体" w:eastAsia="宋体" w:cs="宋体"/>
          <w:color w:val="auto"/>
        </w:rPr>
        <w:t>面积达到90平方米以上</w:t>
      </w:r>
      <w:r>
        <w:rPr>
          <w:rFonts w:hint="eastAsia" w:ascii="宋体" w:hAnsi="宋体" w:eastAsia="宋体" w:cs="宋体"/>
          <w:color w:val="auto"/>
          <w:lang w:eastAsia="zh-CN"/>
        </w:rPr>
        <w:t>。</w:t>
      </w:r>
      <w:r>
        <w:rPr>
          <w:rFonts w:hint="eastAsia" w:ascii="宋体" w:hAnsi="宋体" w:eastAsia="宋体"/>
          <w:color w:val="auto"/>
          <w:lang w:val="en-US" w:eastAsia="zh-CN"/>
        </w:rPr>
        <w:t>农村</w:t>
      </w:r>
      <w:r>
        <w:rPr>
          <w:rFonts w:hint="eastAsia" w:ascii="宋体" w:hAnsi="宋体" w:eastAsia="宋体"/>
          <w:color w:val="auto"/>
        </w:rPr>
        <w:t xml:space="preserve">文化活动中心的建设和服务应符合 GB/T 41375 </w:t>
      </w:r>
      <w:r>
        <w:rPr>
          <w:rFonts w:hint="eastAsia" w:ascii="宋体" w:hAnsi="宋体" w:eastAsia="宋体"/>
          <w:color w:val="auto"/>
          <w:lang w:eastAsia="zh-CN"/>
        </w:rPr>
        <w:t>的规定</w:t>
      </w:r>
      <w:r>
        <w:rPr>
          <w:rFonts w:hint="eastAsia" w:ascii="宋体" w:hAnsi="宋体" w:eastAsia="宋体"/>
          <w:color w:val="auto"/>
        </w:rPr>
        <w:t>。</w:t>
      </w:r>
    </w:p>
    <w:p w14:paraId="27DC21FC">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结合村民实际需求建设图书室或农家书屋。有条件的村庄可建设文化礼堂、村史馆等。</w:t>
      </w:r>
    </w:p>
    <w:p w14:paraId="2F3DC073">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lang w:val="en-US" w:eastAsia="zh-CN"/>
        </w:rPr>
        <w:t>建设</w:t>
      </w:r>
      <w:r>
        <w:rPr>
          <w:rFonts w:hint="eastAsia" w:ascii="宋体" w:hAnsi="宋体" w:eastAsia="宋体"/>
          <w:color w:val="auto"/>
        </w:rPr>
        <w:t>室外健身场所，可结合公园广场等公共空间综合布置，也可与街头绿地、公共建筑、学校体育设施等相结合，并合理配置健身器材、灯光设备等。室内体育设施宜结合文化活动室、</w:t>
      </w:r>
      <w:r>
        <w:rPr>
          <w:rFonts w:hint="eastAsia" w:ascii="宋体" w:hAnsi="宋体" w:eastAsia="宋体" w:cs="Times New Roman"/>
          <w:color w:val="auto"/>
        </w:rPr>
        <w:t>村党群服务中心</w:t>
      </w:r>
      <w:r>
        <w:rPr>
          <w:rFonts w:hint="eastAsia" w:ascii="宋体" w:hAnsi="宋体" w:eastAsia="宋体"/>
          <w:color w:val="auto"/>
        </w:rPr>
        <w:t>等联合布置。</w:t>
      </w:r>
    </w:p>
    <w:p w14:paraId="1769F694">
      <w:pPr>
        <w:pStyle w:val="105"/>
        <w:spacing w:before="156" w:after="156"/>
        <w:rPr>
          <w:color w:val="auto"/>
        </w:rPr>
      </w:pPr>
      <w:bookmarkStart w:id="79" w:name="_Toc13631"/>
      <w:r>
        <w:rPr>
          <w:rFonts w:hint="eastAsia"/>
          <w:color w:val="auto"/>
        </w:rPr>
        <w:t>医疗卫生</w:t>
      </w:r>
      <w:bookmarkEnd w:id="79"/>
    </w:p>
    <w:p w14:paraId="46C3C702">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实现标准化村级卫生室（所、站）的全覆盖、全达标</w:t>
      </w:r>
      <w:r>
        <w:rPr>
          <w:rFonts w:hint="eastAsia" w:ascii="宋体" w:hAnsi="宋体" w:eastAsia="宋体"/>
          <w:color w:val="auto"/>
          <w:lang w:eastAsia="zh-CN"/>
        </w:rPr>
        <w:t>，</w:t>
      </w:r>
      <w:r>
        <w:rPr>
          <w:rFonts w:hint="eastAsia" w:ascii="宋体" w:hAnsi="宋体" w:eastAsia="宋体"/>
          <w:color w:val="auto"/>
        </w:rPr>
        <w:t>能够满足村民日常医疗、预防、康复、保健等需求。</w:t>
      </w:r>
    </w:p>
    <w:p w14:paraId="486E9189">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村卫生室宜综合设置，安排在建筑首层，并设专用出入口。</w:t>
      </w:r>
    </w:p>
    <w:p w14:paraId="13607858">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村民</w:t>
      </w:r>
      <w:r>
        <w:rPr>
          <w:rFonts w:hint="eastAsia" w:ascii="宋体" w:hAnsi="宋体" w:eastAsia="宋体"/>
          <w:color w:val="auto"/>
          <w:lang w:eastAsia="zh-CN"/>
        </w:rPr>
        <w:t>宜</w:t>
      </w:r>
      <w:r>
        <w:rPr>
          <w:rFonts w:hint="eastAsia" w:ascii="宋体" w:hAnsi="宋体" w:eastAsia="宋体"/>
          <w:color w:val="auto"/>
        </w:rPr>
        <w:t>享有国家规定的计划免疫、传染病防治等均等化基本公共卫生服务。</w:t>
      </w:r>
    </w:p>
    <w:p w14:paraId="1CB4E501">
      <w:pPr>
        <w:pStyle w:val="105"/>
        <w:spacing w:before="156" w:after="156"/>
        <w:rPr>
          <w:color w:val="auto"/>
        </w:rPr>
      </w:pPr>
      <w:bookmarkStart w:id="80" w:name="_Toc28925"/>
      <w:r>
        <w:rPr>
          <w:rFonts w:hint="eastAsia"/>
          <w:color w:val="auto"/>
        </w:rPr>
        <w:t>养老服务</w:t>
      </w:r>
      <w:bookmarkEnd w:id="80"/>
    </w:p>
    <w:p w14:paraId="253D3E81">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根据村庄实际，配套日间照料中心、老年食堂及养老院等养老服务设施。鼓励有条件的村建设日托或全托功能的农村养老院，</w:t>
      </w:r>
      <w:r>
        <w:rPr>
          <w:rFonts w:ascii="Arial" w:hAnsi="Arial" w:eastAsia="Arial" w:cs="Arial"/>
          <w:i w:val="0"/>
          <w:iCs w:val="0"/>
          <w:caps w:val="0"/>
          <w:color w:val="auto"/>
          <w:spacing w:val="0"/>
          <w:sz w:val="21"/>
          <w:szCs w:val="21"/>
          <w:shd w:val="clear" w:fill="FFFFFF"/>
        </w:rPr>
        <w:t>养老设施的</w:t>
      </w:r>
      <w:r>
        <w:rPr>
          <w:rFonts w:hint="eastAsia" w:ascii="Arial" w:hAnsi="Arial" w:eastAsia="宋体" w:cs="Arial"/>
          <w:i w:val="0"/>
          <w:iCs w:val="0"/>
          <w:caps w:val="0"/>
          <w:color w:val="auto"/>
          <w:spacing w:val="0"/>
          <w:sz w:val="21"/>
          <w:szCs w:val="21"/>
          <w:shd w:val="clear" w:fill="FFFFFF"/>
          <w:lang w:val="en-US" w:eastAsia="zh-CN"/>
        </w:rPr>
        <w:t>建设标准应符合</w:t>
      </w:r>
      <w:r>
        <w:rPr>
          <w:rFonts w:ascii="Arial" w:hAnsi="Arial" w:eastAsia="Arial" w:cs="Arial"/>
          <w:i w:val="0"/>
          <w:iCs w:val="0"/>
          <w:caps w:val="0"/>
          <w:color w:val="auto"/>
          <w:spacing w:val="0"/>
          <w:sz w:val="21"/>
          <w:szCs w:val="21"/>
          <w:shd w:val="clear" w:fill="FFFFFF"/>
        </w:rPr>
        <w:t>JGJ450</w:t>
      </w:r>
      <w:r>
        <w:rPr>
          <w:rFonts w:hint="eastAsia" w:ascii="Arial" w:hAnsi="Arial" w:eastAsia="宋体" w:cs="Arial"/>
          <w:i w:val="0"/>
          <w:iCs w:val="0"/>
          <w:caps w:val="0"/>
          <w:color w:val="auto"/>
          <w:spacing w:val="0"/>
          <w:sz w:val="21"/>
          <w:szCs w:val="21"/>
          <w:shd w:val="clear" w:fill="FFFFFF"/>
          <w:lang w:val="en-US" w:eastAsia="zh-CN"/>
        </w:rPr>
        <w:t xml:space="preserve"> 的要求</w:t>
      </w:r>
      <w:r>
        <w:rPr>
          <w:rFonts w:hint="eastAsia" w:ascii="Arial" w:hAnsi="Arial" w:eastAsia="宋体" w:cs="Arial"/>
          <w:i w:val="0"/>
          <w:iCs w:val="0"/>
          <w:caps w:val="0"/>
          <w:color w:val="auto"/>
          <w:spacing w:val="0"/>
          <w:sz w:val="21"/>
          <w:szCs w:val="21"/>
          <w:shd w:val="clear" w:fill="FFFFFF"/>
          <w:lang w:eastAsia="zh-CN"/>
        </w:rPr>
        <w:t>，</w:t>
      </w:r>
      <w:r>
        <w:rPr>
          <w:rFonts w:hint="eastAsia" w:ascii="宋体" w:hAnsi="宋体" w:eastAsia="宋体"/>
          <w:color w:val="auto"/>
        </w:rPr>
        <w:t>提供</w:t>
      </w:r>
      <w:r>
        <w:rPr>
          <w:rFonts w:ascii="Arial" w:hAnsi="Arial" w:eastAsia="Arial" w:cs="Arial"/>
          <w:i w:val="0"/>
          <w:iCs w:val="0"/>
          <w:caps w:val="0"/>
          <w:color w:val="auto"/>
          <w:spacing w:val="0"/>
          <w:sz w:val="21"/>
          <w:szCs w:val="21"/>
          <w:shd w:val="clear" w:fill="FFFFFF"/>
        </w:rPr>
        <w:t>日间照料、‌就餐、‌文化娱乐、‌养生健身、‌精神慰藉</w:t>
      </w:r>
      <w:r>
        <w:rPr>
          <w:rFonts w:hint="eastAsia" w:ascii="宋体" w:hAnsi="宋体" w:eastAsia="宋体"/>
          <w:color w:val="auto"/>
        </w:rPr>
        <w:t>等养老服务。</w:t>
      </w:r>
    </w:p>
    <w:p w14:paraId="165DC9DA">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家庭经济困难、</w:t>
      </w:r>
      <w:r>
        <w:rPr>
          <w:rFonts w:hint="eastAsia" w:ascii="Times New Roman" w:hAnsi="Times New Roman" w:eastAsia="宋体" w:cs="Times New Roman"/>
          <w:color w:val="auto"/>
          <w:sz w:val="21"/>
          <w:szCs w:val="21"/>
          <w:vertAlign w:val="baseline"/>
        </w:rPr>
        <w:t>65 岁以上失能人员</w:t>
      </w:r>
      <w:r>
        <w:rPr>
          <w:rFonts w:hint="eastAsia" w:ascii="宋体" w:hAnsi="宋体" w:eastAsia="宋体"/>
          <w:color w:val="auto"/>
        </w:rPr>
        <w:t>基本养老服务</w:t>
      </w:r>
      <w:r>
        <w:rPr>
          <w:rFonts w:hint="eastAsia" w:ascii="Times New Roman" w:hAnsi="Times New Roman" w:eastAsia="宋体" w:cs="Times New Roman"/>
          <w:color w:val="auto"/>
          <w:sz w:val="21"/>
          <w:szCs w:val="21"/>
          <w:vertAlign w:val="baseline"/>
        </w:rPr>
        <w:t>补贴覆盖率</w:t>
      </w:r>
      <w:r>
        <w:rPr>
          <w:rFonts w:hint="eastAsia" w:ascii="Times New Roman" w:hAnsi="Times New Roman" w:eastAsia="宋体" w:cs="Times New Roman"/>
          <w:color w:val="auto"/>
          <w:sz w:val="21"/>
          <w:szCs w:val="21"/>
          <w:vertAlign w:val="baseline"/>
          <w:lang w:eastAsia="zh-CN"/>
        </w:rPr>
        <w:t>不低于</w:t>
      </w:r>
      <w:r>
        <w:rPr>
          <w:rFonts w:hint="eastAsia" w:ascii="Times New Roman" w:hAnsi="Times New Roman" w:eastAsia="宋体" w:cs="Times New Roman"/>
          <w:color w:val="auto"/>
          <w:sz w:val="21"/>
          <w:szCs w:val="21"/>
          <w:vertAlign w:val="baseline"/>
        </w:rPr>
        <w:t>50%</w:t>
      </w:r>
      <w:r>
        <w:rPr>
          <w:rFonts w:hint="eastAsia" w:ascii="宋体" w:hAnsi="宋体" w:eastAsia="宋体"/>
          <w:color w:val="auto"/>
        </w:rPr>
        <w:t>。</w:t>
      </w:r>
      <w:r>
        <w:rPr>
          <w:rFonts w:hint="eastAsia" w:ascii="Times New Roman" w:hAnsi="Times New Roman" w:eastAsia="宋体" w:cs="Times New Roman"/>
          <w:color w:val="auto"/>
          <w:sz w:val="21"/>
          <w:szCs w:val="21"/>
          <w:vertAlign w:val="baseline"/>
          <w:lang w:val="en-US" w:eastAsia="zh-CN"/>
        </w:rPr>
        <w:t>农村五保供养目标人群覆盖率100%，农村五保集中供养能力50%以上。</w:t>
      </w:r>
    </w:p>
    <w:p w14:paraId="4B9BA966">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宜建立留守老年人探访制度。</w:t>
      </w:r>
    </w:p>
    <w:p w14:paraId="088B0AC4">
      <w:pPr>
        <w:pStyle w:val="105"/>
        <w:spacing w:before="156" w:after="156"/>
        <w:rPr>
          <w:color w:val="auto"/>
        </w:rPr>
      </w:pPr>
      <w:bookmarkStart w:id="81" w:name="_Toc27796"/>
      <w:r>
        <w:rPr>
          <w:rFonts w:hint="eastAsia"/>
          <w:color w:val="auto"/>
        </w:rPr>
        <w:t>社会保障</w:t>
      </w:r>
      <w:bookmarkEnd w:id="81"/>
    </w:p>
    <w:p w14:paraId="0D6703D4">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村庄</w:t>
      </w:r>
      <w:r>
        <w:rPr>
          <w:rFonts w:hint="eastAsia" w:ascii="宋体" w:hAnsi="宋体" w:eastAsia="宋体"/>
          <w:color w:val="auto"/>
          <w:lang w:eastAsia="zh-CN"/>
        </w:rPr>
        <w:t>宜</w:t>
      </w:r>
      <w:r>
        <w:rPr>
          <w:rFonts w:hint="eastAsia" w:ascii="宋体" w:hAnsi="宋体" w:eastAsia="宋体"/>
          <w:color w:val="auto"/>
        </w:rPr>
        <w:t>设置专人专岗负责未成年人和留守儿童保护工作。宜结合村党群服务中心、文化活动室等建设未成年人活动场所和设施。</w:t>
      </w:r>
    </w:p>
    <w:p w14:paraId="7F4D0C9F">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完善农村妇女儿童关爱工作，开展农村适龄妇女“两癌”免费检查，持续实施低收入“两癌”患病妇女救助。</w:t>
      </w:r>
    </w:p>
    <w:p w14:paraId="1D38C0CD">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支持和引导农村残疾人托养服务工作发展，提升农村残疾人托养服务水平。</w:t>
      </w:r>
    </w:p>
    <w:p w14:paraId="508DA0BD">
      <w:pPr>
        <w:pStyle w:val="105"/>
        <w:spacing w:before="156" w:after="156"/>
        <w:rPr>
          <w:color w:val="auto"/>
        </w:rPr>
      </w:pPr>
      <w:bookmarkStart w:id="82" w:name="_Toc19659"/>
      <w:r>
        <w:rPr>
          <w:rFonts w:hint="eastAsia"/>
          <w:color w:val="auto"/>
        </w:rPr>
        <w:t>就业创业</w:t>
      </w:r>
      <w:bookmarkEnd w:id="82"/>
    </w:p>
    <w:p w14:paraId="15E17470">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宜综合设置就业服务机构或组织工作站。收集并发布就业信息，对村庄内的劳动力信息进行调查、统计、归集，</w:t>
      </w:r>
      <w:r>
        <w:rPr>
          <w:rFonts w:hint="eastAsia" w:ascii="宋体" w:hAnsi="宋体" w:eastAsia="宋体"/>
          <w:color w:val="auto"/>
          <w:lang w:val="en-US" w:eastAsia="zh-CN"/>
        </w:rPr>
        <w:t>提供</w:t>
      </w:r>
      <w:r>
        <w:rPr>
          <w:rFonts w:hint="eastAsia" w:ascii="宋体" w:hAnsi="宋体" w:eastAsia="宋体"/>
          <w:color w:val="auto"/>
        </w:rPr>
        <w:t>就业政策咨询、求职登记、职业指导和推荐就业等服务，组织开展劳动技能培训和就业创业培训。</w:t>
      </w:r>
    </w:p>
    <w:p w14:paraId="13831A4A">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及时为就业困难人员、零就业家庭和残疾人提供就业援助。</w:t>
      </w:r>
    </w:p>
    <w:p w14:paraId="49E6CE8E">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宋体" w:hAnsi="宋体" w:eastAsia="宋体"/>
          <w:color w:val="auto"/>
        </w:rPr>
      </w:pPr>
      <w:r>
        <w:rPr>
          <w:rFonts w:hint="eastAsia" w:ascii="宋体" w:hAnsi="宋体" w:eastAsia="宋体"/>
          <w:color w:val="auto"/>
        </w:rPr>
        <w:t>协助开展劳动关系协调、劳动人事争议调解、维权等权益保护活动。</w:t>
      </w:r>
    </w:p>
    <w:p w14:paraId="358C78CD">
      <w:pPr>
        <w:pStyle w:val="105"/>
        <w:spacing w:before="156" w:after="156"/>
        <w:rPr>
          <w:color w:val="auto"/>
        </w:rPr>
      </w:pPr>
      <w:bookmarkStart w:id="83" w:name="_Toc21729"/>
      <w:r>
        <w:rPr>
          <w:rFonts w:hint="eastAsia"/>
          <w:color w:val="auto"/>
        </w:rPr>
        <w:t>便民服务</w:t>
      </w:r>
      <w:bookmarkEnd w:id="83"/>
    </w:p>
    <w:p w14:paraId="6B2E79E6">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 xml:space="preserve">建设线上线下一体的综合便民服务机构，依照 GB/T 38699、GB/T 41409 提供代办、咨询、村级事务审批等多种服务。 </w:t>
      </w:r>
    </w:p>
    <w:p w14:paraId="14D3BD2D">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建设电子商务服务网点、快递站（点）、益农信息社等服务平台，电子商务服务网点</w:t>
      </w:r>
      <w:r>
        <w:rPr>
          <w:rFonts w:hint="eastAsia" w:ascii="宋体" w:hAnsi="宋体" w:eastAsia="宋体"/>
          <w:color w:val="auto"/>
          <w:lang w:eastAsia="zh-CN"/>
        </w:rPr>
        <w:t>宜</w:t>
      </w:r>
      <w:r>
        <w:rPr>
          <w:rFonts w:hint="eastAsia" w:ascii="宋体" w:hAnsi="宋体" w:eastAsia="宋体"/>
          <w:color w:val="auto"/>
        </w:rPr>
        <w:t xml:space="preserve">依照 GB/T 38354 提供服务。 </w:t>
      </w:r>
    </w:p>
    <w:p w14:paraId="27029278">
      <w:pPr>
        <w:pStyle w:val="105"/>
        <w:spacing w:before="156" w:after="156"/>
        <w:rPr>
          <w:color w:val="auto"/>
        </w:rPr>
      </w:pPr>
      <w:bookmarkStart w:id="84" w:name="_Toc7520"/>
      <w:r>
        <w:rPr>
          <w:rFonts w:hint="eastAsia"/>
          <w:color w:val="auto"/>
        </w:rPr>
        <w:t>公共安全</w:t>
      </w:r>
      <w:bookmarkEnd w:id="84"/>
    </w:p>
    <w:p w14:paraId="0A6AB230">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Times New Roman" w:hAnsi="Times New Roman" w:eastAsia="宋体" w:cs="Times New Roman"/>
          <w:color w:val="auto"/>
          <w:sz w:val="21"/>
          <w:szCs w:val="21"/>
          <w:vertAlign w:val="baseline"/>
          <w:lang w:val="en-US" w:eastAsia="zh-CN"/>
        </w:rPr>
        <w:t>根据不同自然灾害类型建设相应防灾设施和避灾场所</w:t>
      </w:r>
      <w:r>
        <w:rPr>
          <w:rFonts w:hint="eastAsia" w:ascii="宋体" w:hAnsi="宋体" w:eastAsia="宋体"/>
          <w:color w:val="auto"/>
        </w:rPr>
        <w:t xml:space="preserve">，结合休闲绿地广场、活动中心、学校操场等地合理设置。 </w:t>
      </w:r>
    </w:p>
    <w:p w14:paraId="2A157D8F">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人均避难场所面积达到1.5平方米以上。</w:t>
      </w:r>
    </w:p>
    <w:p w14:paraId="542825D1">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color w:val="auto"/>
        </w:rPr>
      </w:pPr>
      <w:r>
        <w:rPr>
          <w:rFonts w:hint="eastAsia" w:ascii="宋体" w:hAnsi="宋体" w:eastAsia="宋体"/>
          <w:color w:val="auto"/>
          <w:lang w:val="en-US" w:eastAsia="zh-CN"/>
        </w:rPr>
        <w:t xml:space="preserve">农村消防安全应符合 GB 50039 要求。 </w:t>
      </w:r>
    </w:p>
    <w:p w14:paraId="5705EFE8">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color w:val="auto"/>
        </w:rPr>
      </w:pPr>
      <w:r>
        <w:rPr>
          <w:rFonts w:hint="eastAsia" w:ascii="宋体" w:hAnsi="宋体" w:eastAsia="宋体"/>
          <w:color w:val="auto"/>
          <w:lang w:val="en-US" w:eastAsia="zh-CN"/>
        </w:rPr>
        <w:t xml:space="preserve">农村用电安全应符合 DL 493 要求。 </w:t>
      </w:r>
    </w:p>
    <w:p w14:paraId="0DF5B95D">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lang w:val="en-US" w:eastAsia="zh-CN"/>
        </w:rPr>
        <w:t>定期</w:t>
      </w:r>
      <w:r>
        <w:rPr>
          <w:rFonts w:hint="eastAsia" w:ascii="宋体" w:hAnsi="宋体" w:eastAsia="宋体"/>
          <w:color w:val="auto"/>
        </w:rPr>
        <w:t>开展防灾减灾宣传教育，制定村庄灾害救助应急预案，组织应急演练。</w:t>
      </w:r>
    </w:p>
    <w:p w14:paraId="4FBF65C4">
      <w:pPr>
        <w:pStyle w:val="105"/>
        <w:spacing w:before="156" w:after="156"/>
        <w:rPr>
          <w:color w:val="auto"/>
        </w:rPr>
      </w:pPr>
      <w:bookmarkStart w:id="85" w:name="_Toc20685"/>
      <w:r>
        <w:rPr>
          <w:rFonts w:hint="eastAsia"/>
          <w:color w:val="auto"/>
        </w:rPr>
        <w:t>安保服务</w:t>
      </w:r>
      <w:bookmarkEnd w:id="85"/>
    </w:p>
    <w:p w14:paraId="44BAA8D4">
      <w:pPr>
        <w:pStyle w:val="165"/>
        <w:rPr>
          <w:color w:val="auto"/>
        </w:rPr>
      </w:pPr>
      <w:r>
        <w:rPr>
          <w:rFonts w:hint="eastAsia"/>
          <w:color w:val="auto"/>
        </w:rPr>
        <w:t>镇政府所在地的村庄应设置公安派出所，建设用房面积指标由基本用房、设备用房和附属用房组成。一般村庄可设置警务室，办公用房面积不得小于 20平方米。</w:t>
      </w:r>
    </w:p>
    <w:p w14:paraId="527E8F51">
      <w:pPr>
        <w:pStyle w:val="165"/>
        <w:rPr>
          <w:color w:val="auto"/>
        </w:rPr>
      </w:pPr>
      <w:r>
        <w:rPr>
          <w:rFonts w:hint="eastAsia"/>
          <w:color w:val="auto"/>
        </w:rPr>
        <w:t>健全治安管理制度，建立治保会等群防组织。在人口集中居住地和道路交通要道边等地安装社会治安动态视频监控系统。</w:t>
      </w:r>
    </w:p>
    <w:p w14:paraId="3C99CD70">
      <w:pPr>
        <w:pStyle w:val="104"/>
        <w:spacing w:before="312" w:after="312"/>
        <w:rPr>
          <w:color w:val="auto"/>
        </w:rPr>
      </w:pPr>
      <w:bookmarkStart w:id="86" w:name="_Toc16953"/>
      <w:r>
        <w:rPr>
          <w:rFonts w:hint="eastAsia"/>
          <w:color w:val="auto"/>
        </w:rPr>
        <w:t>经济产业</w:t>
      </w:r>
      <w:bookmarkEnd w:id="86"/>
    </w:p>
    <w:p w14:paraId="12DF0047">
      <w:pPr>
        <w:pStyle w:val="105"/>
        <w:spacing w:before="156" w:after="156"/>
        <w:rPr>
          <w:color w:val="auto"/>
        </w:rPr>
      </w:pPr>
      <w:bookmarkStart w:id="87" w:name="_Toc29580"/>
      <w:r>
        <w:rPr>
          <w:rFonts w:hint="eastAsia"/>
          <w:color w:val="auto"/>
        </w:rPr>
        <w:t>农业发展</w:t>
      </w:r>
      <w:bookmarkEnd w:id="87"/>
    </w:p>
    <w:p w14:paraId="55317FBF">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发展绿色农业。推进畜禽粪污资源化利用，畜禽粪污综合利用率达到80%以上，</w:t>
      </w:r>
      <w:r>
        <w:rPr>
          <w:rFonts w:hint="eastAsia" w:ascii="宋体" w:hAnsi="宋体" w:eastAsia="宋体" w:cs="Times New Roman"/>
          <w:color w:val="auto"/>
          <w:sz w:val="21"/>
          <w:szCs w:val="21"/>
          <w:lang w:val="en-US" w:eastAsia="zh-CN"/>
        </w:rPr>
        <w:t>废旧</w:t>
      </w:r>
      <w:r>
        <w:rPr>
          <w:rFonts w:hint="eastAsia" w:ascii="宋体" w:hAnsi="宋体" w:eastAsia="宋体" w:cs="Times New Roman"/>
          <w:color w:val="auto"/>
          <w:sz w:val="21"/>
          <w:szCs w:val="21"/>
        </w:rPr>
        <w:t>农膜回收率</w:t>
      </w:r>
      <w:r>
        <w:rPr>
          <w:rFonts w:hint="eastAsia" w:ascii="宋体" w:hAnsi="宋体" w:eastAsia="宋体" w:cs="Times New Roman"/>
          <w:color w:val="auto"/>
          <w:sz w:val="21"/>
          <w:szCs w:val="21"/>
          <w:lang w:val="en-US" w:eastAsia="zh-CN"/>
        </w:rPr>
        <w:t>80%以上</w:t>
      </w:r>
      <w:r>
        <w:rPr>
          <w:rFonts w:hint="eastAsia" w:ascii="宋体" w:hAnsi="宋体" w:eastAsia="宋体" w:cs="Times New Roman"/>
          <w:color w:val="auto"/>
          <w:sz w:val="21"/>
          <w:szCs w:val="21"/>
        </w:rPr>
        <w:t>。</w:t>
      </w:r>
      <w:r>
        <w:rPr>
          <w:rFonts w:hint="eastAsia" w:ascii="宋体" w:hAnsi="宋体" w:eastAsia="宋体"/>
          <w:color w:val="auto"/>
        </w:rPr>
        <w:t>宜配置秸秆、蔬菜废弃物等就地就近处理设施，推进农业废弃物资源化利用。绿色农产品认证率逐步提升。</w:t>
      </w:r>
    </w:p>
    <w:p w14:paraId="11119F81">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发展规模农业。加强耕地质量建设，扩大规模化、标准化生产。培育提升一批示范带动作用明显的农业龙头企业、农民专业合作社、家庭农场等新型农业经营主体，发展多种形式的适度规模经营。</w:t>
      </w:r>
    </w:p>
    <w:p w14:paraId="68E998BE">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发展现代农业。提升农业机械装备水平，主要农作物耕种收综合机械化率达到90%以上。发展设施农业，重点围绕设施种植业、设施畜牧业和现代物流设施等三大领域。推进农产品生产过程的数字化监测和信息采集，提升全产业链数字化管理水平。</w:t>
      </w:r>
    </w:p>
    <w:p w14:paraId="270320F0">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发展品牌农业。发展优质粮油、果蔬、杂粮、畜禽、水产等优势特色农业产业，推动绿色食品、有机农产品或农产品地理标志认证，培育优质农产品区域公用品牌和农业企业品牌。</w:t>
      </w:r>
    </w:p>
    <w:p w14:paraId="3D62ED2C">
      <w:pPr>
        <w:pStyle w:val="105"/>
        <w:spacing w:before="156" w:after="156"/>
        <w:rPr>
          <w:color w:val="auto"/>
        </w:rPr>
      </w:pPr>
      <w:bookmarkStart w:id="88" w:name="_Toc5306"/>
      <w:r>
        <w:rPr>
          <w:rFonts w:hint="eastAsia"/>
          <w:color w:val="auto"/>
        </w:rPr>
        <w:t>产业融合</w:t>
      </w:r>
      <w:bookmarkEnd w:id="88"/>
    </w:p>
    <w:p w14:paraId="6DE99E1C">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促进农村一二三产业融合</w:t>
      </w:r>
      <w:r>
        <w:rPr>
          <w:rFonts w:hint="eastAsia" w:ascii="Times New Roman" w:hAnsi="Times New Roman" w:eastAsia="宋体" w:cs="Times New Roman"/>
          <w:color w:val="auto"/>
          <w:sz w:val="21"/>
          <w:szCs w:val="21"/>
          <w:vertAlign w:val="baseline"/>
          <w:lang w:eastAsia="zh-CN"/>
        </w:rPr>
        <w:t>发展</w:t>
      </w:r>
      <w:r>
        <w:rPr>
          <w:rFonts w:hint="eastAsia" w:ascii="宋体" w:hAnsi="宋体" w:eastAsia="宋体"/>
          <w:color w:val="auto"/>
        </w:rPr>
        <w:t>。结合自身条件、产业基础、市场需求等因素合理确定产业类型，推动农业由生产环节向产前、产后延伸，促进资源要素整合，提高农产品加工转化率和附加值，实现农业从生产向生态、生活功能拓展。</w:t>
      </w:r>
    </w:p>
    <w:p w14:paraId="1DAFFA9A">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积极发展农村新产业。依托自然风貌、历史文化等资源禀赋，</w:t>
      </w:r>
      <w:r>
        <w:rPr>
          <w:rFonts w:hint="eastAsia" w:ascii="Times New Roman" w:hAnsi="Times New Roman" w:eastAsia="宋体" w:cs="Times New Roman"/>
          <w:color w:val="auto"/>
          <w:sz w:val="21"/>
          <w:szCs w:val="21"/>
          <w:vertAlign w:val="baseline"/>
          <w:lang w:val="en-US" w:eastAsia="zh-CN"/>
        </w:rPr>
        <w:t>开发有特色的乡村休闲旅游业态及产品</w:t>
      </w:r>
      <w:r>
        <w:rPr>
          <w:rFonts w:hint="eastAsia" w:ascii="宋体" w:hAnsi="宋体" w:eastAsia="宋体"/>
          <w:color w:val="auto"/>
        </w:rPr>
        <w:t>，推进旅游配套设施标准化建设，组织优化游览线路；依托乡村旅游承接发展相关现代服务业，发展研学、康养、特色民宿、办公等新业态；条件适宜地区可发展乡村传统产业，保护传承传统手工工艺等。</w:t>
      </w:r>
    </w:p>
    <w:p w14:paraId="7808936B">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推动农村电商高质量发展。引导电商、物流、商贸、供销、快递等各类电子商务相关主体到乡村布局，加快建设区域性农副产品仓储物流配送中心，加快培育农村电子商务龙头企业。应用生产、流通、消费全环节和全产业链，扩大乡村生产性和生活性服务业领域。</w:t>
      </w:r>
    </w:p>
    <w:p w14:paraId="0CD659B6">
      <w:pPr>
        <w:pStyle w:val="105"/>
        <w:spacing w:before="156" w:after="156"/>
        <w:rPr>
          <w:color w:val="auto"/>
        </w:rPr>
      </w:pPr>
      <w:bookmarkStart w:id="89" w:name="_Toc32751"/>
      <w:r>
        <w:rPr>
          <w:rFonts w:hint="eastAsia"/>
          <w:color w:val="auto"/>
        </w:rPr>
        <w:t>集体经济</w:t>
      </w:r>
      <w:bookmarkEnd w:id="89"/>
    </w:p>
    <w:p w14:paraId="1F1D3B2A">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村集体经济组织宜盘活闲置农宅、建筑，利用存量建设用地、房屋等资源，采用集体经营性建设用地入市、股份合作等方式，组建村集体、镇集体、市场主体共同参与的股份合作实体，发展壮大集体经济。</w:t>
      </w:r>
    </w:p>
    <w:p w14:paraId="61BB68BF">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村级财务收支平衡，有效保障公共基础设施和公共服务等日常运维管护正常运转。村集体经济组织结合实际，将集体经营收益按照章程约定股份向成员分红，让成员享受改革红利。</w:t>
      </w:r>
    </w:p>
    <w:p w14:paraId="0FA5C192">
      <w:pPr>
        <w:pStyle w:val="105"/>
        <w:spacing w:before="156" w:after="156"/>
        <w:rPr>
          <w:color w:val="auto"/>
        </w:rPr>
      </w:pPr>
      <w:bookmarkStart w:id="90" w:name="_Toc18309"/>
      <w:r>
        <w:rPr>
          <w:rFonts w:hint="eastAsia"/>
          <w:color w:val="auto"/>
        </w:rPr>
        <w:t>村民收入</w:t>
      </w:r>
      <w:bookmarkEnd w:id="90"/>
    </w:p>
    <w:p w14:paraId="1AC57ED8">
      <w:pPr>
        <w:pStyle w:val="65"/>
        <w:numPr>
          <w:ilvl w:val="3"/>
          <w:numId w:val="0"/>
        </w:numPr>
        <w:spacing w:before="156" w:after="156"/>
        <w:ind w:leftChars="0" w:firstLine="420" w:firstLineChars="200"/>
        <w:rPr>
          <w:rFonts w:ascii="宋体" w:hAnsi="宋体" w:eastAsia="宋体"/>
          <w:color w:val="auto"/>
        </w:rPr>
      </w:pPr>
      <w:r>
        <w:rPr>
          <w:rFonts w:hint="eastAsia" w:ascii="宋体" w:hAnsi="宋体" w:eastAsia="宋体"/>
          <w:color w:val="auto"/>
        </w:rPr>
        <w:t>通过发展现代农业、特色产业、庭院经济、开发新产业新业态等，拓宽农民增收渠道，并以提高集体福利或分红等形式让村民共享经济发展红利。村民人均可支配收入高于该县（区）农村居民平均水平。</w:t>
      </w:r>
    </w:p>
    <w:p w14:paraId="3B77889C">
      <w:pPr>
        <w:pStyle w:val="104"/>
        <w:spacing w:before="312" w:after="312"/>
        <w:rPr>
          <w:color w:val="auto"/>
        </w:rPr>
      </w:pPr>
      <w:bookmarkStart w:id="91" w:name="_Toc13525"/>
      <w:r>
        <w:rPr>
          <w:rFonts w:hint="eastAsia"/>
          <w:color w:val="auto"/>
        </w:rPr>
        <w:t>乡村治理</w:t>
      </w:r>
      <w:bookmarkEnd w:id="91"/>
    </w:p>
    <w:p w14:paraId="759947D6">
      <w:pPr>
        <w:pStyle w:val="105"/>
        <w:spacing w:before="156" w:after="156"/>
        <w:rPr>
          <w:color w:val="auto"/>
        </w:rPr>
      </w:pPr>
      <w:bookmarkStart w:id="92" w:name="_Toc16795"/>
      <w:r>
        <w:rPr>
          <w:rFonts w:hint="eastAsia"/>
          <w:color w:val="auto"/>
        </w:rPr>
        <w:t>基层组织建设</w:t>
      </w:r>
      <w:bookmarkEnd w:id="92"/>
    </w:p>
    <w:p w14:paraId="221CD5EA">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加强基层党组织建设，定期开展村干部治理、经营、服务等能力的培养，增加党组织凝聚力。</w:t>
      </w:r>
    </w:p>
    <w:p w14:paraId="4686EBD2">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建立以基层党组织为核心、村民为主体、社会力量为补充的乡村组织体系。</w:t>
      </w:r>
    </w:p>
    <w:p w14:paraId="34B6849D">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村级党组织、村民自治组织、村务监督组织、集体经济组织、农民合作组织、其他经济社会组织等村级组织体系健全并规范运行。</w:t>
      </w:r>
    </w:p>
    <w:p w14:paraId="468F3903">
      <w:pPr>
        <w:pStyle w:val="105"/>
        <w:spacing w:before="156" w:after="156"/>
        <w:rPr>
          <w:color w:val="auto"/>
        </w:rPr>
      </w:pPr>
      <w:bookmarkStart w:id="93" w:name="_Toc31319"/>
      <w:r>
        <w:rPr>
          <w:rFonts w:hint="eastAsia"/>
          <w:color w:val="auto"/>
        </w:rPr>
        <w:t>乡村治理体系</w:t>
      </w:r>
      <w:bookmarkEnd w:id="93"/>
    </w:p>
    <w:p w14:paraId="22BA4E4B">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健全基层党组织领导下的自治、法治、德治“三治”结合的现代乡村社会治理体系。</w:t>
      </w:r>
    </w:p>
    <w:p w14:paraId="503D1187">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建立党组织领导的村民自治机制，遵循民主选举、民主协商、民主决策、民主管理、民主监督的村民自治要求。</w:t>
      </w:r>
    </w:p>
    <w:p w14:paraId="31CDF8FC">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完善村民自治章程、议事规则、村规民约、村务公开等民主管理制度，健全村民（代表）会议制度。村规民约规范制定，宜一事一约、奖惩分明。</w:t>
      </w:r>
    </w:p>
    <w:p w14:paraId="76EDCF66">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宜构建村级数字化管理服务平台，按需开发人居环境管护、劳动力管理、农村养老等村级数字化治理应用场景。</w:t>
      </w:r>
    </w:p>
    <w:p w14:paraId="50D3411F">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推进平安乡村建设，设立村级法律公共服务点，开展农村法宣教育；完善社会矛盾纠纷多元预防调处化解综合机制，建立村级矛盾调解工作室，做到矛盾不出村；建立村级应急管理预案体系；重点地段视频监控安装全覆盖。</w:t>
      </w:r>
    </w:p>
    <w:p w14:paraId="4BC45104">
      <w:pPr>
        <w:pStyle w:val="105"/>
        <w:spacing w:before="156" w:after="156"/>
        <w:rPr>
          <w:color w:val="auto"/>
        </w:rPr>
      </w:pPr>
      <w:bookmarkStart w:id="94" w:name="_Toc23397"/>
      <w:r>
        <w:rPr>
          <w:rFonts w:hint="eastAsia"/>
          <w:color w:val="auto"/>
        </w:rPr>
        <w:t>乡风文明</w:t>
      </w:r>
      <w:bookmarkEnd w:id="94"/>
    </w:p>
    <w:p w14:paraId="34A6D7C2">
      <w:pPr>
        <w:pStyle w:val="65"/>
        <w:spacing w:before="156" w:after="156"/>
        <w:rPr>
          <w:rFonts w:hint="eastAsia" w:ascii="黑体" w:hAnsi="黑体" w:eastAsia="黑体" w:cs="黑体"/>
          <w:color w:val="auto"/>
          <w:lang w:val="en-US" w:eastAsia="zh-CN"/>
        </w:rPr>
      </w:pPr>
      <w:r>
        <w:rPr>
          <w:rFonts w:hint="eastAsia" w:ascii="黑体" w:hAnsi="黑体" w:eastAsia="黑体" w:cs="黑体"/>
          <w:color w:val="auto"/>
          <w:lang w:val="en-US" w:eastAsia="zh-CN"/>
        </w:rPr>
        <w:t>精神文明建设</w:t>
      </w:r>
    </w:p>
    <w:p w14:paraId="0C438DF9">
      <w:pPr>
        <w:pStyle w:val="9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ascii="宋体" w:hAnsi="宋体" w:eastAsia="宋体" w:cs="宋体"/>
          <w:color w:val="auto"/>
        </w:rPr>
      </w:pPr>
      <w:r>
        <w:rPr>
          <w:rFonts w:hint="eastAsia" w:ascii="宋体" w:hAnsi="宋体" w:eastAsia="宋体" w:cs="宋体"/>
          <w:color w:val="auto"/>
        </w:rPr>
        <w:t>组织开展爱国主义、精神文明、社会主义核心价值观、道德、法治、形势政策等宣传教育。鼓励采用农民群众喜闻乐见的形式生动阐述社会主义核心价值观。</w:t>
      </w:r>
    </w:p>
    <w:p w14:paraId="7986E6EA">
      <w:pPr>
        <w:pStyle w:val="9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ascii="宋体" w:hAnsi="宋体" w:eastAsia="宋体" w:cs="宋体"/>
          <w:color w:val="auto"/>
        </w:rPr>
      </w:pPr>
      <w:r>
        <w:rPr>
          <w:rFonts w:hint="eastAsia" w:ascii="宋体" w:hAnsi="宋体" w:eastAsia="宋体" w:cs="宋体"/>
          <w:color w:val="auto"/>
        </w:rPr>
        <w:t>围绕勤劳致富、崇德尚善、诚实守信、遵纪守法等内容，开展系列创建、评选活动，开展文明村、文明户、家风家训等精神文明创建活动，践行移风易俗，摒弃陈规陋习，培养健康、文明、生态的生活方式和行为习惯，形成文明乡风、良好家风、淳朴民风。</w:t>
      </w:r>
    </w:p>
    <w:p w14:paraId="50CD1678">
      <w:pPr>
        <w:pStyle w:val="65"/>
        <w:spacing w:before="156" w:after="156"/>
        <w:rPr>
          <w:rFonts w:hint="eastAsia" w:ascii="黑体" w:hAnsi="黑体" w:eastAsia="黑体" w:cs="黑体"/>
          <w:color w:val="auto"/>
          <w:lang w:val="en-US" w:eastAsia="zh-CN"/>
        </w:rPr>
      </w:pPr>
      <w:r>
        <w:rPr>
          <w:rFonts w:hint="eastAsia" w:hAnsi="黑体" w:cs="黑体"/>
          <w:color w:val="auto"/>
          <w:lang w:val="en-US" w:eastAsia="zh-CN"/>
        </w:rPr>
        <w:t>历史</w:t>
      </w:r>
      <w:r>
        <w:rPr>
          <w:rFonts w:hint="eastAsia" w:ascii="黑体" w:hAnsi="黑体" w:eastAsia="黑体" w:cs="黑体"/>
          <w:color w:val="auto"/>
          <w:lang w:val="en-US" w:eastAsia="zh-CN"/>
        </w:rPr>
        <w:t>文化保护传承</w:t>
      </w:r>
    </w:p>
    <w:p w14:paraId="1BB1BF15">
      <w:pPr>
        <w:pStyle w:val="94"/>
        <w:keepNext w:val="0"/>
        <w:keepLines w:val="0"/>
        <w:pageBreakBefore w:val="0"/>
        <w:widowControl/>
        <w:numPr>
          <w:ilvl w:val="4"/>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ascii="宋体" w:hAnsi="宋体" w:eastAsia="宋体" w:cs="宋体"/>
          <w:color w:val="auto"/>
        </w:rPr>
      </w:pPr>
      <w:r>
        <w:rPr>
          <w:rFonts w:hint="eastAsia" w:ascii="宋体" w:hAnsi="宋体" w:eastAsia="宋体" w:cs="宋体"/>
          <w:color w:val="auto"/>
        </w:rPr>
        <w:t>有效保护、传承、利用</w:t>
      </w:r>
      <w:r>
        <w:rPr>
          <w:rFonts w:hint="eastAsia" w:ascii="Times New Roman" w:hAnsi="Times New Roman" w:eastAsia="宋体" w:cs="Times New Roman"/>
          <w:color w:val="auto"/>
          <w:sz w:val="21"/>
          <w:szCs w:val="21"/>
          <w:vertAlign w:val="baseline"/>
          <w:lang w:val="en-US" w:eastAsia="zh-CN"/>
        </w:rPr>
        <w:t>历史文化名村、</w:t>
      </w:r>
      <w:r>
        <w:rPr>
          <w:rFonts w:hint="eastAsia" w:ascii="宋体" w:hAnsi="宋体" w:eastAsia="宋体" w:cs="宋体"/>
          <w:color w:val="auto"/>
        </w:rPr>
        <w:t>传统村落、传统建筑、农业文化遗产、古树名木等物质文化，以及传统技艺、传统服饰、传统民俗等非物质文化。</w:t>
      </w:r>
    </w:p>
    <w:p w14:paraId="0662FF6B">
      <w:pPr>
        <w:pStyle w:val="65"/>
        <w:spacing w:before="156" w:after="156"/>
        <w:rPr>
          <w:rFonts w:hint="eastAsia" w:ascii="黑体" w:hAnsi="黑体" w:eastAsia="黑体" w:cs="黑体"/>
          <w:color w:val="auto"/>
          <w:lang w:val="en-US" w:eastAsia="zh-CN"/>
        </w:rPr>
      </w:pPr>
      <w:r>
        <w:rPr>
          <w:rFonts w:hint="eastAsia" w:ascii="黑体" w:hAnsi="黑体" w:eastAsia="黑体" w:cs="黑体"/>
          <w:color w:val="auto"/>
          <w:lang w:val="en-US" w:eastAsia="zh-CN"/>
        </w:rPr>
        <w:t>文化惠民</w:t>
      </w:r>
    </w:p>
    <w:p w14:paraId="437C642F">
      <w:pPr>
        <w:pStyle w:val="9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ascii="宋体" w:hAnsi="宋体" w:eastAsia="宋体" w:cs="宋体"/>
          <w:color w:val="auto"/>
        </w:rPr>
      </w:pPr>
      <w:r>
        <w:rPr>
          <w:rFonts w:hint="eastAsia" w:ascii="宋体" w:hAnsi="宋体" w:eastAsia="宋体" w:cs="宋体"/>
          <w:color w:val="auto"/>
        </w:rPr>
        <w:t>常态化开展文艺演出、讲座展览、电影放映、体育比赛、科技培训等文化体育活动。</w:t>
      </w:r>
    </w:p>
    <w:p w14:paraId="0D309185">
      <w:pPr>
        <w:pStyle w:val="9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ascii="宋体" w:hAnsi="宋体" w:eastAsia="宋体" w:cs="宋体"/>
          <w:color w:val="auto"/>
        </w:rPr>
      </w:pPr>
      <w:r>
        <w:rPr>
          <w:rFonts w:hint="eastAsia" w:ascii="宋体" w:hAnsi="宋体" w:eastAsia="宋体" w:cs="宋体"/>
          <w:color w:val="auto"/>
        </w:rPr>
        <w:t>加强传统节日民俗文化活动、农事节庆文化活动举办，展陈乡村物资特产、传统工艺。</w:t>
      </w:r>
    </w:p>
    <w:p w14:paraId="6974E92D">
      <w:pPr>
        <w:pStyle w:val="105"/>
        <w:spacing w:before="156" w:after="156"/>
        <w:rPr>
          <w:color w:val="auto"/>
        </w:rPr>
      </w:pPr>
      <w:bookmarkStart w:id="95" w:name="_Toc23847"/>
      <w:r>
        <w:rPr>
          <w:rFonts w:hint="eastAsia"/>
          <w:color w:val="auto"/>
        </w:rPr>
        <w:t>长效管理</w:t>
      </w:r>
      <w:bookmarkEnd w:id="95"/>
    </w:p>
    <w:p w14:paraId="61D73623">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建立健全农村</w:t>
      </w:r>
      <w:r>
        <w:rPr>
          <w:rFonts w:hint="eastAsia" w:ascii="宋体" w:hAnsi="宋体" w:eastAsia="宋体" w:cs="Times New Roman"/>
          <w:color w:val="auto"/>
          <w:sz w:val="21"/>
          <w:szCs w:val="21"/>
          <w:lang w:val="en-US" w:eastAsia="zh-CN"/>
        </w:rPr>
        <w:t>公共基础设施</w:t>
      </w:r>
      <w:r>
        <w:rPr>
          <w:rFonts w:hint="eastAsia" w:ascii="宋体" w:hAnsi="宋体" w:eastAsia="宋体"/>
          <w:color w:val="auto"/>
        </w:rPr>
        <w:t>的长效管理机制，明确产权归属，进行产权登记，确定管理机构、职责分工、人员配置、经费来源和投入标准。</w:t>
      </w:r>
    </w:p>
    <w:p w14:paraId="725D1C60">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在村有关民主管理制度中，明确村民参与长效管理职责，引导村民参与农村人居环境建设管护，做好宅前屋后环境管理。</w:t>
      </w:r>
    </w:p>
    <w:p w14:paraId="64727DFD">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hAnsi="宋体" w:eastAsia="宋体"/>
          <w:color w:val="auto"/>
        </w:rPr>
      </w:pPr>
      <w:r>
        <w:rPr>
          <w:rFonts w:hint="eastAsia" w:ascii="宋体" w:hAnsi="宋体" w:eastAsia="宋体"/>
          <w:color w:val="auto"/>
        </w:rPr>
        <w:t>村级组织宜与设施运营企业开展合作，</w:t>
      </w:r>
      <w:r>
        <w:rPr>
          <w:rFonts w:hint="eastAsia" w:ascii="Times New Roman" w:hAnsi="Times New Roman" w:eastAsia="宋体" w:cs="Times New Roman"/>
          <w:color w:val="auto"/>
          <w:sz w:val="21"/>
          <w:szCs w:val="21"/>
          <w:vertAlign w:val="baseline"/>
          <w:lang w:val="en-US" w:eastAsia="zh-CN"/>
        </w:rPr>
        <w:t>宜吸纳本地村民参与管护</w:t>
      </w:r>
      <w:r>
        <w:rPr>
          <w:rFonts w:hint="eastAsia" w:ascii="宋体" w:hAnsi="宋体" w:eastAsia="宋体"/>
          <w:color w:val="auto"/>
        </w:rPr>
        <w:t>。</w:t>
      </w:r>
    </w:p>
    <w:p w14:paraId="4BBCAD89">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宋体" w:hAnsi="宋体" w:eastAsia="宋体"/>
          <w:color w:val="auto"/>
        </w:rPr>
      </w:pPr>
      <w:r>
        <w:rPr>
          <w:rFonts w:hint="eastAsia" w:ascii="宋体" w:hAnsi="宋体" w:eastAsia="宋体"/>
          <w:color w:val="auto"/>
          <w:lang w:val="en-US" w:eastAsia="zh-CN"/>
        </w:rPr>
        <w:t>鼓励开展村民参与度、满意度第三方调查，建立线上线下反馈机制。</w:t>
      </w:r>
    </w:p>
    <w:p w14:paraId="405AA92E">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宋体" w:hAnsi="宋体" w:eastAsia="宋体"/>
          <w:color w:val="auto"/>
          <w:lang w:val="en-US" w:eastAsia="zh-CN"/>
        </w:rPr>
      </w:pPr>
      <w:r>
        <w:rPr>
          <w:rFonts w:hint="eastAsia" w:ascii="宋体" w:hAnsi="宋体" w:eastAsia="宋体"/>
          <w:color w:val="auto"/>
          <w:lang w:val="en-US" w:eastAsia="zh-CN"/>
        </w:rPr>
        <w:t>综合运用检查、考核、奖惩等方式，对村庄的建设与运行实施动态监督和管理。</w:t>
      </w:r>
    </w:p>
    <w:bookmarkEnd w:id="24"/>
    <w:p w14:paraId="29787ADD">
      <w:pPr>
        <w:pStyle w:val="56"/>
        <w:ind w:firstLine="0" w:firstLineChars="0"/>
        <w:jc w:val="left"/>
        <w:rPr>
          <w:color w:val="auto"/>
        </w:rPr>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55BA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80035">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2E8AD">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F78E9">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BE6E6">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C7589">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E219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098B2">
    <w:pPr>
      <w:pStyle w:val="61"/>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C3F4F">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dit="forms" w:enforcement="1" w:cryptProviderType="rsaAES" w:cryptAlgorithmClass="hash" w:cryptAlgorithmType="typeAny" w:cryptAlgorithmSid="14" w:cryptSpinCount="100000" w:hash="faaY8bZmAPcqA7Ey5m+EyJqunphF3+6vIHLHxJt8Y4odlAjM9TLXxSHdH08rkE3/YWKbyOGPF5aGErc/nERsmw==" w:salt="b7A+Hpli7btITIAW1b9Ulw=="/>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3NDM0ZjkxZjc1YjI3MDRiN2M1YmQyMjlmNWZiNWYifQ=="/>
  </w:docVars>
  <w:rsids>
    <w:rsidRoot w:val="007D5BDD"/>
    <w:rsid w:val="0000040A"/>
    <w:rsid w:val="00000A94"/>
    <w:rsid w:val="00001972"/>
    <w:rsid w:val="00001D9A"/>
    <w:rsid w:val="00007B3A"/>
    <w:rsid w:val="000107E0"/>
    <w:rsid w:val="00011FDE"/>
    <w:rsid w:val="00012FFD"/>
    <w:rsid w:val="00014162"/>
    <w:rsid w:val="00014340"/>
    <w:rsid w:val="00016A9C"/>
    <w:rsid w:val="00022080"/>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09A"/>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135"/>
    <w:rsid w:val="00067F1E"/>
    <w:rsid w:val="00070D88"/>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68F2"/>
    <w:rsid w:val="000A7311"/>
    <w:rsid w:val="000B060F"/>
    <w:rsid w:val="000B1592"/>
    <w:rsid w:val="000B1FF2"/>
    <w:rsid w:val="000B3CDA"/>
    <w:rsid w:val="000B6A0B"/>
    <w:rsid w:val="000B7304"/>
    <w:rsid w:val="000C0F6C"/>
    <w:rsid w:val="000C11DB"/>
    <w:rsid w:val="000C1492"/>
    <w:rsid w:val="000C2FBD"/>
    <w:rsid w:val="000C4B41"/>
    <w:rsid w:val="000C50C5"/>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22F4"/>
    <w:rsid w:val="00104926"/>
    <w:rsid w:val="00113B1E"/>
    <w:rsid w:val="0011711C"/>
    <w:rsid w:val="0012059C"/>
    <w:rsid w:val="00124CDD"/>
    <w:rsid w:val="00124E4F"/>
    <w:rsid w:val="001260B7"/>
    <w:rsid w:val="001265CB"/>
    <w:rsid w:val="001321C6"/>
    <w:rsid w:val="001325C4"/>
    <w:rsid w:val="00133010"/>
    <w:rsid w:val="001338EE"/>
    <w:rsid w:val="00133AAE"/>
    <w:rsid w:val="00135323"/>
    <w:rsid w:val="001356C4"/>
    <w:rsid w:val="00141114"/>
    <w:rsid w:val="00141D56"/>
    <w:rsid w:val="00142969"/>
    <w:rsid w:val="00143DE1"/>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4B0F"/>
    <w:rsid w:val="001E73AB"/>
    <w:rsid w:val="001F092D"/>
    <w:rsid w:val="001F143A"/>
    <w:rsid w:val="001F1605"/>
    <w:rsid w:val="001F2508"/>
    <w:rsid w:val="001F3AEE"/>
    <w:rsid w:val="001F4816"/>
    <w:rsid w:val="001F4EE9"/>
    <w:rsid w:val="001F69B4"/>
    <w:rsid w:val="001F6A52"/>
    <w:rsid w:val="001F77C7"/>
    <w:rsid w:val="00200183"/>
    <w:rsid w:val="00200333"/>
    <w:rsid w:val="0020107D"/>
    <w:rsid w:val="00202AA4"/>
    <w:rsid w:val="002031F7"/>
    <w:rsid w:val="002040E6"/>
    <w:rsid w:val="0020527B"/>
    <w:rsid w:val="00205F2C"/>
    <w:rsid w:val="00210B15"/>
    <w:rsid w:val="002142EA"/>
    <w:rsid w:val="00216673"/>
    <w:rsid w:val="002204BB"/>
    <w:rsid w:val="00221B79"/>
    <w:rsid w:val="00221C6B"/>
    <w:rsid w:val="002253A1"/>
    <w:rsid w:val="00225CF8"/>
    <w:rsid w:val="00227802"/>
    <w:rsid w:val="0022794E"/>
    <w:rsid w:val="00233D64"/>
    <w:rsid w:val="0023482A"/>
    <w:rsid w:val="002359CB"/>
    <w:rsid w:val="00243540"/>
    <w:rsid w:val="0024497B"/>
    <w:rsid w:val="00244F38"/>
    <w:rsid w:val="0024515B"/>
    <w:rsid w:val="00246021"/>
    <w:rsid w:val="0024666E"/>
    <w:rsid w:val="00247F52"/>
    <w:rsid w:val="00250B25"/>
    <w:rsid w:val="00250BBE"/>
    <w:rsid w:val="00251034"/>
    <w:rsid w:val="002515C2"/>
    <w:rsid w:val="0025194F"/>
    <w:rsid w:val="002528BE"/>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58BE"/>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0A5"/>
    <w:rsid w:val="002E6326"/>
    <w:rsid w:val="002F30E0"/>
    <w:rsid w:val="002F35E4"/>
    <w:rsid w:val="002F3730"/>
    <w:rsid w:val="002F38E1"/>
    <w:rsid w:val="002F4271"/>
    <w:rsid w:val="002F7AF6"/>
    <w:rsid w:val="00300E63"/>
    <w:rsid w:val="00302F5F"/>
    <w:rsid w:val="0030441D"/>
    <w:rsid w:val="00306063"/>
    <w:rsid w:val="00310586"/>
    <w:rsid w:val="00310720"/>
    <w:rsid w:val="00313B85"/>
    <w:rsid w:val="00317988"/>
    <w:rsid w:val="003221B4"/>
    <w:rsid w:val="0032258D"/>
    <w:rsid w:val="00322E62"/>
    <w:rsid w:val="00324D13"/>
    <w:rsid w:val="00324D2A"/>
    <w:rsid w:val="00324EDD"/>
    <w:rsid w:val="00327CB1"/>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644B"/>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4BB2"/>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537A"/>
    <w:rsid w:val="004167A3"/>
    <w:rsid w:val="00432DAA"/>
    <w:rsid w:val="00434305"/>
    <w:rsid w:val="00435DF7"/>
    <w:rsid w:val="00436724"/>
    <w:rsid w:val="0044083F"/>
    <w:rsid w:val="00441793"/>
    <w:rsid w:val="00441AE7"/>
    <w:rsid w:val="00445574"/>
    <w:rsid w:val="004467FB"/>
    <w:rsid w:val="00452568"/>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7E7"/>
    <w:rsid w:val="004E1C0A"/>
    <w:rsid w:val="004E2B06"/>
    <w:rsid w:val="004E30C5"/>
    <w:rsid w:val="004E4AA5"/>
    <w:rsid w:val="004E4AEE"/>
    <w:rsid w:val="004E59E3"/>
    <w:rsid w:val="004E67C0"/>
    <w:rsid w:val="004F2F27"/>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BCE"/>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7667"/>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0A92"/>
    <w:rsid w:val="00651ACB"/>
    <w:rsid w:val="00651C47"/>
    <w:rsid w:val="00652870"/>
    <w:rsid w:val="00652AB2"/>
    <w:rsid w:val="00653FED"/>
    <w:rsid w:val="00654EC0"/>
    <w:rsid w:val="0065525B"/>
    <w:rsid w:val="00655D4F"/>
    <w:rsid w:val="00656D29"/>
    <w:rsid w:val="006640E5"/>
    <w:rsid w:val="006646F1"/>
    <w:rsid w:val="00664929"/>
    <w:rsid w:val="00664F62"/>
    <w:rsid w:val="006655E1"/>
    <w:rsid w:val="00672060"/>
    <w:rsid w:val="00672BFD"/>
    <w:rsid w:val="00675DFB"/>
    <w:rsid w:val="006770F4"/>
    <w:rsid w:val="00677A84"/>
    <w:rsid w:val="0068026D"/>
    <w:rsid w:val="00680A27"/>
    <w:rsid w:val="006816A4"/>
    <w:rsid w:val="006819B8"/>
    <w:rsid w:val="00681CDC"/>
    <w:rsid w:val="006840A6"/>
    <w:rsid w:val="006850CD"/>
    <w:rsid w:val="00685AAB"/>
    <w:rsid w:val="00695265"/>
    <w:rsid w:val="00695D22"/>
    <w:rsid w:val="006A07AA"/>
    <w:rsid w:val="006A25E5"/>
    <w:rsid w:val="006A2B46"/>
    <w:rsid w:val="006A336D"/>
    <w:rsid w:val="006A37B9"/>
    <w:rsid w:val="006A58B5"/>
    <w:rsid w:val="006B2672"/>
    <w:rsid w:val="006B54BF"/>
    <w:rsid w:val="006B5649"/>
    <w:rsid w:val="006B5F44"/>
    <w:rsid w:val="006B5F90"/>
    <w:rsid w:val="006B62E4"/>
    <w:rsid w:val="006B79AE"/>
    <w:rsid w:val="006C01CD"/>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0137"/>
    <w:rsid w:val="00711CBA"/>
    <w:rsid w:val="00711FB5"/>
    <w:rsid w:val="0071213F"/>
    <w:rsid w:val="00712A01"/>
    <w:rsid w:val="00714F58"/>
    <w:rsid w:val="00722FBF"/>
    <w:rsid w:val="00722FC2"/>
    <w:rsid w:val="00724879"/>
    <w:rsid w:val="00724E1B"/>
    <w:rsid w:val="00725949"/>
    <w:rsid w:val="00727FA2"/>
    <w:rsid w:val="007322D9"/>
    <w:rsid w:val="00732BC0"/>
    <w:rsid w:val="00736130"/>
    <w:rsid w:val="0073720F"/>
    <w:rsid w:val="00737796"/>
    <w:rsid w:val="0074165C"/>
    <w:rsid w:val="00742C35"/>
    <w:rsid w:val="007432CA"/>
    <w:rsid w:val="007439EB"/>
    <w:rsid w:val="00743CB4"/>
    <w:rsid w:val="00743F0A"/>
    <w:rsid w:val="007444E8"/>
    <w:rsid w:val="0074548E"/>
    <w:rsid w:val="00745773"/>
    <w:rsid w:val="00746800"/>
    <w:rsid w:val="00747AB1"/>
    <w:rsid w:val="007501A8"/>
    <w:rsid w:val="00750D61"/>
    <w:rsid w:val="00750EE1"/>
    <w:rsid w:val="00752B4D"/>
    <w:rsid w:val="00755402"/>
    <w:rsid w:val="00756B26"/>
    <w:rsid w:val="00756EDF"/>
    <w:rsid w:val="007600E3"/>
    <w:rsid w:val="00765C43"/>
    <w:rsid w:val="00765EFB"/>
    <w:rsid w:val="007671CA"/>
    <w:rsid w:val="00767C61"/>
    <w:rsid w:val="0077008A"/>
    <w:rsid w:val="00773916"/>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E6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5BDD"/>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50D"/>
    <w:rsid w:val="00830621"/>
    <w:rsid w:val="00831832"/>
    <w:rsid w:val="0083348C"/>
    <w:rsid w:val="008373D3"/>
    <w:rsid w:val="00837A11"/>
    <w:rsid w:val="008404C8"/>
    <w:rsid w:val="00840617"/>
    <w:rsid w:val="00840F84"/>
    <w:rsid w:val="00842A47"/>
    <w:rsid w:val="00843C13"/>
    <w:rsid w:val="008454F8"/>
    <w:rsid w:val="0085173A"/>
    <w:rsid w:val="00853E0E"/>
    <w:rsid w:val="00856316"/>
    <w:rsid w:val="008577B9"/>
    <w:rsid w:val="008603CE"/>
    <w:rsid w:val="008620FC"/>
    <w:rsid w:val="008627A5"/>
    <w:rsid w:val="00863E05"/>
    <w:rsid w:val="00865ACA"/>
    <w:rsid w:val="00865D28"/>
    <w:rsid w:val="00865F85"/>
    <w:rsid w:val="00867C10"/>
    <w:rsid w:val="00870439"/>
    <w:rsid w:val="00870DA1"/>
    <w:rsid w:val="00875437"/>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065C3"/>
    <w:rsid w:val="00906ECA"/>
    <w:rsid w:val="00910970"/>
    <w:rsid w:val="00911BE5"/>
    <w:rsid w:val="00913CA9"/>
    <w:rsid w:val="009145AE"/>
    <w:rsid w:val="009146CE"/>
    <w:rsid w:val="00914CA7"/>
    <w:rsid w:val="00915C3E"/>
    <w:rsid w:val="009161A8"/>
    <w:rsid w:val="00920ADC"/>
    <w:rsid w:val="009238E5"/>
    <w:rsid w:val="009245F5"/>
    <w:rsid w:val="009249EC"/>
    <w:rsid w:val="009273B3"/>
    <w:rsid w:val="009305B5"/>
    <w:rsid w:val="009429D5"/>
    <w:rsid w:val="00942BF1"/>
    <w:rsid w:val="00945180"/>
    <w:rsid w:val="00945428"/>
    <w:rsid w:val="0094607B"/>
    <w:rsid w:val="00953604"/>
    <w:rsid w:val="009539EC"/>
    <w:rsid w:val="0095496B"/>
    <w:rsid w:val="009610DC"/>
    <w:rsid w:val="00961490"/>
    <w:rsid w:val="0096381A"/>
    <w:rsid w:val="0096544C"/>
    <w:rsid w:val="00965E04"/>
    <w:rsid w:val="009674AD"/>
    <w:rsid w:val="00970CDC"/>
    <w:rsid w:val="00977010"/>
    <w:rsid w:val="00977D02"/>
    <w:rsid w:val="009809BB"/>
    <w:rsid w:val="0098364B"/>
    <w:rsid w:val="009911AF"/>
    <w:rsid w:val="00991875"/>
    <w:rsid w:val="00991F92"/>
    <w:rsid w:val="00992985"/>
    <w:rsid w:val="00993889"/>
    <w:rsid w:val="00993DC0"/>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1A0A"/>
    <w:rsid w:val="00A0096C"/>
    <w:rsid w:val="00A01757"/>
    <w:rsid w:val="00A028C0"/>
    <w:rsid w:val="00A02BAE"/>
    <w:rsid w:val="00A06998"/>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4BF5"/>
    <w:rsid w:val="00A952D7"/>
    <w:rsid w:val="00A963F7"/>
    <w:rsid w:val="00A96AD8"/>
    <w:rsid w:val="00AA052C"/>
    <w:rsid w:val="00AA1E45"/>
    <w:rsid w:val="00AA4286"/>
    <w:rsid w:val="00AA456B"/>
    <w:rsid w:val="00AA57F5"/>
    <w:rsid w:val="00AA672E"/>
    <w:rsid w:val="00AA6EC9"/>
    <w:rsid w:val="00AA6F0C"/>
    <w:rsid w:val="00AB2761"/>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4D94"/>
    <w:rsid w:val="00AD5C18"/>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5B36"/>
    <w:rsid w:val="00B261F1"/>
    <w:rsid w:val="00B265BC"/>
    <w:rsid w:val="00B31FB1"/>
    <w:rsid w:val="00B33952"/>
    <w:rsid w:val="00B33C5E"/>
    <w:rsid w:val="00B342F4"/>
    <w:rsid w:val="00B34369"/>
    <w:rsid w:val="00B34DC2"/>
    <w:rsid w:val="00B378E5"/>
    <w:rsid w:val="00B41F75"/>
    <w:rsid w:val="00B4346D"/>
    <w:rsid w:val="00B440F4"/>
    <w:rsid w:val="00B447A5"/>
    <w:rsid w:val="00B4654C"/>
    <w:rsid w:val="00B46AF0"/>
    <w:rsid w:val="00B47293"/>
    <w:rsid w:val="00B50E50"/>
    <w:rsid w:val="00B52120"/>
    <w:rsid w:val="00B54ABC"/>
    <w:rsid w:val="00B54DDE"/>
    <w:rsid w:val="00B55507"/>
    <w:rsid w:val="00B56FBE"/>
    <w:rsid w:val="00B60ACF"/>
    <w:rsid w:val="00B62427"/>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196A"/>
    <w:rsid w:val="00BB19E3"/>
    <w:rsid w:val="00BB203B"/>
    <w:rsid w:val="00BB5F8F"/>
    <w:rsid w:val="00BB657A"/>
    <w:rsid w:val="00BC1A4E"/>
    <w:rsid w:val="00BC4790"/>
    <w:rsid w:val="00BC5DC7"/>
    <w:rsid w:val="00BC6B8B"/>
    <w:rsid w:val="00BC737C"/>
    <w:rsid w:val="00BC73D8"/>
    <w:rsid w:val="00BD52D7"/>
    <w:rsid w:val="00BD5AD2"/>
    <w:rsid w:val="00BE22F3"/>
    <w:rsid w:val="00BE5B52"/>
    <w:rsid w:val="00BE5BE3"/>
    <w:rsid w:val="00BE7B8D"/>
    <w:rsid w:val="00BF0993"/>
    <w:rsid w:val="00BF10A9"/>
    <w:rsid w:val="00BF1703"/>
    <w:rsid w:val="00BF231C"/>
    <w:rsid w:val="00BF51E5"/>
    <w:rsid w:val="00BF71A9"/>
    <w:rsid w:val="00BF74A6"/>
    <w:rsid w:val="00C013AD"/>
    <w:rsid w:val="00C0174E"/>
    <w:rsid w:val="00C04904"/>
    <w:rsid w:val="00C056B3"/>
    <w:rsid w:val="00C103E5"/>
    <w:rsid w:val="00C13319"/>
    <w:rsid w:val="00C13EE9"/>
    <w:rsid w:val="00C21540"/>
    <w:rsid w:val="00C21906"/>
    <w:rsid w:val="00C21BFA"/>
    <w:rsid w:val="00C22148"/>
    <w:rsid w:val="00C24C8D"/>
    <w:rsid w:val="00C25FE2"/>
    <w:rsid w:val="00C26B53"/>
    <w:rsid w:val="00C279B2"/>
    <w:rsid w:val="00C30C88"/>
    <w:rsid w:val="00C33D27"/>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37F8"/>
    <w:rsid w:val="00C643F9"/>
    <w:rsid w:val="00C64E95"/>
    <w:rsid w:val="00C71372"/>
    <w:rsid w:val="00C72410"/>
    <w:rsid w:val="00C727D2"/>
    <w:rsid w:val="00C7287F"/>
    <w:rsid w:val="00C80982"/>
    <w:rsid w:val="00C80CB8"/>
    <w:rsid w:val="00C819F8"/>
    <w:rsid w:val="00C8248C"/>
    <w:rsid w:val="00C84E33"/>
    <w:rsid w:val="00C86D6F"/>
    <w:rsid w:val="00C905FC"/>
    <w:rsid w:val="00C91036"/>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CEE"/>
    <w:rsid w:val="00CD2808"/>
    <w:rsid w:val="00CD28BF"/>
    <w:rsid w:val="00CD4092"/>
    <w:rsid w:val="00CD4A20"/>
    <w:rsid w:val="00CD50A1"/>
    <w:rsid w:val="00CD519E"/>
    <w:rsid w:val="00CD561D"/>
    <w:rsid w:val="00CD5A1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05A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539F"/>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04A7"/>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1F7"/>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373AF"/>
    <w:rsid w:val="00E44A83"/>
    <w:rsid w:val="00E502C1"/>
    <w:rsid w:val="00E502DD"/>
    <w:rsid w:val="00E50D3A"/>
    <w:rsid w:val="00E51387"/>
    <w:rsid w:val="00E51E68"/>
    <w:rsid w:val="00E52EFD"/>
    <w:rsid w:val="00E5408A"/>
    <w:rsid w:val="00E5500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461C"/>
    <w:rsid w:val="00EA58D1"/>
    <w:rsid w:val="00EA61BC"/>
    <w:rsid w:val="00EA681A"/>
    <w:rsid w:val="00EA735B"/>
    <w:rsid w:val="00EB17DE"/>
    <w:rsid w:val="00EB1E69"/>
    <w:rsid w:val="00EB2086"/>
    <w:rsid w:val="00EB2DF3"/>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0A89"/>
    <w:rsid w:val="00F235E9"/>
    <w:rsid w:val="00F25BB6"/>
    <w:rsid w:val="00F26B7E"/>
    <w:rsid w:val="00F27A3B"/>
    <w:rsid w:val="00F32B59"/>
    <w:rsid w:val="00F33817"/>
    <w:rsid w:val="00F420D5"/>
    <w:rsid w:val="00F451EA"/>
    <w:rsid w:val="00F45447"/>
    <w:rsid w:val="00F456C6"/>
    <w:rsid w:val="00F4577B"/>
    <w:rsid w:val="00F46496"/>
    <w:rsid w:val="00F46D15"/>
    <w:rsid w:val="00F474D0"/>
    <w:rsid w:val="00F47B10"/>
    <w:rsid w:val="00F50179"/>
    <w:rsid w:val="00F515EE"/>
    <w:rsid w:val="00F56511"/>
    <w:rsid w:val="00F6194E"/>
    <w:rsid w:val="00F623AC"/>
    <w:rsid w:val="00F6412A"/>
    <w:rsid w:val="00F65893"/>
    <w:rsid w:val="00F66A4A"/>
    <w:rsid w:val="00F70B7B"/>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0A2"/>
    <w:rsid w:val="00FE1FBE"/>
    <w:rsid w:val="00FE3901"/>
    <w:rsid w:val="00FE39D3"/>
    <w:rsid w:val="00FE4BCE"/>
    <w:rsid w:val="00FE54AE"/>
    <w:rsid w:val="00FE576A"/>
    <w:rsid w:val="00FE7E79"/>
    <w:rsid w:val="00FF3E7D"/>
    <w:rsid w:val="00FF5B99"/>
    <w:rsid w:val="00FF730C"/>
    <w:rsid w:val="00FF73F4"/>
    <w:rsid w:val="00FF7CE4"/>
    <w:rsid w:val="00FF7E39"/>
    <w:rsid w:val="01253372"/>
    <w:rsid w:val="015E0632"/>
    <w:rsid w:val="01730582"/>
    <w:rsid w:val="01802811"/>
    <w:rsid w:val="01C26E13"/>
    <w:rsid w:val="01C82DAA"/>
    <w:rsid w:val="01EA636A"/>
    <w:rsid w:val="02184C85"/>
    <w:rsid w:val="025758C2"/>
    <w:rsid w:val="028440C8"/>
    <w:rsid w:val="029167E5"/>
    <w:rsid w:val="02B63EF1"/>
    <w:rsid w:val="02F833AC"/>
    <w:rsid w:val="030F42DA"/>
    <w:rsid w:val="038B1487"/>
    <w:rsid w:val="03914CEF"/>
    <w:rsid w:val="03BD7093"/>
    <w:rsid w:val="03D52D80"/>
    <w:rsid w:val="03DB240E"/>
    <w:rsid w:val="043D6C25"/>
    <w:rsid w:val="045A31AF"/>
    <w:rsid w:val="04AB0032"/>
    <w:rsid w:val="04BD5D20"/>
    <w:rsid w:val="04BD6771"/>
    <w:rsid w:val="04CD7FA9"/>
    <w:rsid w:val="04D806FC"/>
    <w:rsid w:val="04F574FF"/>
    <w:rsid w:val="05031C1C"/>
    <w:rsid w:val="050370BF"/>
    <w:rsid w:val="05045994"/>
    <w:rsid w:val="053523CE"/>
    <w:rsid w:val="05BC001D"/>
    <w:rsid w:val="05F652DD"/>
    <w:rsid w:val="06175254"/>
    <w:rsid w:val="063302DF"/>
    <w:rsid w:val="06361B7E"/>
    <w:rsid w:val="064A387B"/>
    <w:rsid w:val="067D3496"/>
    <w:rsid w:val="068648B3"/>
    <w:rsid w:val="06C0421D"/>
    <w:rsid w:val="06C75DF5"/>
    <w:rsid w:val="06E579C2"/>
    <w:rsid w:val="07131EBF"/>
    <w:rsid w:val="07464042"/>
    <w:rsid w:val="077C1812"/>
    <w:rsid w:val="0781151E"/>
    <w:rsid w:val="07A70F85"/>
    <w:rsid w:val="07FC0BA5"/>
    <w:rsid w:val="085A5FF7"/>
    <w:rsid w:val="08FA1985"/>
    <w:rsid w:val="09004AA0"/>
    <w:rsid w:val="098A290C"/>
    <w:rsid w:val="09D242DF"/>
    <w:rsid w:val="0A122902"/>
    <w:rsid w:val="0A7648BF"/>
    <w:rsid w:val="0B93537C"/>
    <w:rsid w:val="0BD31C1D"/>
    <w:rsid w:val="0BE36304"/>
    <w:rsid w:val="0C0D3381"/>
    <w:rsid w:val="0C0F70F9"/>
    <w:rsid w:val="0C5A77EA"/>
    <w:rsid w:val="0CB16402"/>
    <w:rsid w:val="0CC872A8"/>
    <w:rsid w:val="0CDD0FA5"/>
    <w:rsid w:val="0CE9794A"/>
    <w:rsid w:val="0E1A3B33"/>
    <w:rsid w:val="0E26697C"/>
    <w:rsid w:val="0E3A41D5"/>
    <w:rsid w:val="0E3B2427"/>
    <w:rsid w:val="0E43308A"/>
    <w:rsid w:val="0E7476E7"/>
    <w:rsid w:val="0F1F3AF7"/>
    <w:rsid w:val="0F8C0A60"/>
    <w:rsid w:val="0F930041"/>
    <w:rsid w:val="10542161"/>
    <w:rsid w:val="105C0433"/>
    <w:rsid w:val="10D604F0"/>
    <w:rsid w:val="110C7E5C"/>
    <w:rsid w:val="11DD7ABC"/>
    <w:rsid w:val="11F91426"/>
    <w:rsid w:val="121D1954"/>
    <w:rsid w:val="124B075F"/>
    <w:rsid w:val="125910CE"/>
    <w:rsid w:val="12FD2641"/>
    <w:rsid w:val="13030DE2"/>
    <w:rsid w:val="1336140F"/>
    <w:rsid w:val="13427DB4"/>
    <w:rsid w:val="13C20EF5"/>
    <w:rsid w:val="13C22CA3"/>
    <w:rsid w:val="13F60B9E"/>
    <w:rsid w:val="13F84916"/>
    <w:rsid w:val="140212F1"/>
    <w:rsid w:val="140D666A"/>
    <w:rsid w:val="141F6347"/>
    <w:rsid w:val="145D29CB"/>
    <w:rsid w:val="14BC3B96"/>
    <w:rsid w:val="15373433"/>
    <w:rsid w:val="15E92769"/>
    <w:rsid w:val="16646293"/>
    <w:rsid w:val="16753FFC"/>
    <w:rsid w:val="16A13043"/>
    <w:rsid w:val="16A6065A"/>
    <w:rsid w:val="16CA259A"/>
    <w:rsid w:val="176C2155"/>
    <w:rsid w:val="17A52BCE"/>
    <w:rsid w:val="18980476"/>
    <w:rsid w:val="18A24E51"/>
    <w:rsid w:val="18C94AD3"/>
    <w:rsid w:val="18D97E3B"/>
    <w:rsid w:val="191B532F"/>
    <w:rsid w:val="191C2E55"/>
    <w:rsid w:val="192A5572"/>
    <w:rsid w:val="19404D95"/>
    <w:rsid w:val="198527A8"/>
    <w:rsid w:val="19B1359D"/>
    <w:rsid w:val="19EA1203"/>
    <w:rsid w:val="19EA4D01"/>
    <w:rsid w:val="1A0A0AF5"/>
    <w:rsid w:val="1A322BCF"/>
    <w:rsid w:val="1A4C3ECB"/>
    <w:rsid w:val="1A5B79AD"/>
    <w:rsid w:val="1A805D4E"/>
    <w:rsid w:val="1A954C6D"/>
    <w:rsid w:val="1A9F12D7"/>
    <w:rsid w:val="1ADF05DE"/>
    <w:rsid w:val="1AF44089"/>
    <w:rsid w:val="1B067919"/>
    <w:rsid w:val="1B46065D"/>
    <w:rsid w:val="1B5C1C2F"/>
    <w:rsid w:val="1BCF0653"/>
    <w:rsid w:val="1C381D54"/>
    <w:rsid w:val="1C6A2129"/>
    <w:rsid w:val="1CA473E9"/>
    <w:rsid w:val="1CD41125"/>
    <w:rsid w:val="1CFD4D4B"/>
    <w:rsid w:val="1D7F6B6F"/>
    <w:rsid w:val="1D9751A0"/>
    <w:rsid w:val="1DD7559C"/>
    <w:rsid w:val="1DE63A32"/>
    <w:rsid w:val="1E012619"/>
    <w:rsid w:val="1E6C3F37"/>
    <w:rsid w:val="1EB3600A"/>
    <w:rsid w:val="1F136AA8"/>
    <w:rsid w:val="1F354C71"/>
    <w:rsid w:val="1F511F82"/>
    <w:rsid w:val="1F9F20EA"/>
    <w:rsid w:val="1FA616CA"/>
    <w:rsid w:val="204C14F0"/>
    <w:rsid w:val="20825C93"/>
    <w:rsid w:val="20831A0C"/>
    <w:rsid w:val="214967B1"/>
    <w:rsid w:val="215D225D"/>
    <w:rsid w:val="2177331E"/>
    <w:rsid w:val="21AB121A"/>
    <w:rsid w:val="21C347B6"/>
    <w:rsid w:val="21DC7775"/>
    <w:rsid w:val="22223B89"/>
    <w:rsid w:val="22396826"/>
    <w:rsid w:val="22631AF5"/>
    <w:rsid w:val="22B12860"/>
    <w:rsid w:val="22CE51C0"/>
    <w:rsid w:val="22E449E3"/>
    <w:rsid w:val="22F4099F"/>
    <w:rsid w:val="23201794"/>
    <w:rsid w:val="23D83E1C"/>
    <w:rsid w:val="242568D4"/>
    <w:rsid w:val="245E4322"/>
    <w:rsid w:val="248144B4"/>
    <w:rsid w:val="24A02B8C"/>
    <w:rsid w:val="24A140F3"/>
    <w:rsid w:val="24B228BF"/>
    <w:rsid w:val="25302686"/>
    <w:rsid w:val="25524FC9"/>
    <w:rsid w:val="255F47F5"/>
    <w:rsid w:val="25657932"/>
    <w:rsid w:val="257638ED"/>
    <w:rsid w:val="25976972"/>
    <w:rsid w:val="25F74A2E"/>
    <w:rsid w:val="260809E9"/>
    <w:rsid w:val="26143832"/>
    <w:rsid w:val="26A5448A"/>
    <w:rsid w:val="26AB75C6"/>
    <w:rsid w:val="26FE1DEC"/>
    <w:rsid w:val="272F1FA5"/>
    <w:rsid w:val="2736727F"/>
    <w:rsid w:val="275B723E"/>
    <w:rsid w:val="27D75D62"/>
    <w:rsid w:val="27EC6D9A"/>
    <w:rsid w:val="280B2A12"/>
    <w:rsid w:val="28243AD4"/>
    <w:rsid w:val="28481571"/>
    <w:rsid w:val="285223EF"/>
    <w:rsid w:val="28546167"/>
    <w:rsid w:val="28793E20"/>
    <w:rsid w:val="288D2522"/>
    <w:rsid w:val="28E76FDC"/>
    <w:rsid w:val="294206B6"/>
    <w:rsid w:val="2976210D"/>
    <w:rsid w:val="298505A2"/>
    <w:rsid w:val="299F1664"/>
    <w:rsid w:val="29C235A5"/>
    <w:rsid w:val="29DA6B40"/>
    <w:rsid w:val="2A007C29"/>
    <w:rsid w:val="2A3A7DAD"/>
    <w:rsid w:val="2A4C2E6E"/>
    <w:rsid w:val="2A9D2A82"/>
    <w:rsid w:val="2A9F070C"/>
    <w:rsid w:val="2B3D7387"/>
    <w:rsid w:val="2B404781"/>
    <w:rsid w:val="2B41674B"/>
    <w:rsid w:val="2B65243A"/>
    <w:rsid w:val="2B7D1E25"/>
    <w:rsid w:val="2BCE7FDF"/>
    <w:rsid w:val="2BD01E07"/>
    <w:rsid w:val="2C86250F"/>
    <w:rsid w:val="2CAB02B0"/>
    <w:rsid w:val="2D4A18E7"/>
    <w:rsid w:val="2DF53F49"/>
    <w:rsid w:val="2E33681F"/>
    <w:rsid w:val="2E737DA1"/>
    <w:rsid w:val="2EB711FE"/>
    <w:rsid w:val="2ED27DE6"/>
    <w:rsid w:val="2EF56CD4"/>
    <w:rsid w:val="2F08082A"/>
    <w:rsid w:val="2F7166FB"/>
    <w:rsid w:val="2FC5794B"/>
    <w:rsid w:val="2FD162F0"/>
    <w:rsid w:val="2FE46BAD"/>
    <w:rsid w:val="30550CCF"/>
    <w:rsid w:val="307373A7"/>
    <w:rsid w:val="30815AC1"/>
    <w:rsid w:val="30864E02"/>
    <w:rsid w:val="309C4B4F"/>
    <w:rsid w:val="30A27C8C"/>
    <w:rsid w:val="31077AEF"/>
    <w:rsid w:val="310D3357"/>
    <w:rsid w:val="313528AE"/>
    <w:rsid w:val="31440D43"/>
    <w:rsid w:val="314E481F"/>
    <w:rsid w:val="31772EC7"/>
    <w:rsid w:val="3184468C"/>
    <w:rsid w:val="318F2491"/>
    <w:rsid w:val="31A16195"/>
    <w:rsid w:val="31C61758"/>
    <w:rsid w:val="31C679AA"/>
    <w:rsid w:val="31D200FD"/>
    <w:rsid w:val="32677589"/>
    <w:rsid w:val="329655CE"/>
    <w:rsid w:val="32AC66DB"/>
    <w:rsid w:val="32BA306B"/>
    <w:rsid w:val="334572CF"/>
    <w:rsid w:val="33686F6B"/>
    <w:rsid w:val="337A54DE"/>
    <w:rsid w:val="33B977C6"/>
    <w:rsid w:val="33CF6FEA"/>
    <w:rsid w:val="34515C51"/>
    <w:rsid w:val="34B955A4"/>
    <w:rsid w:val="350E3B42"/>
    <w:rsid w:val="35E93C67"/>
    <w:rsid w:val="369E2CA4"/>
    <w:rsid w:val="36E7289C"/>
    <w:rsid w:val="370945C1"/>
    <w:rsid w:val="37160A8C"/>
    <w:rsid w:val="37377380"/>
    <w:rsid w:val="37BA3B0D"/>
    <w:rsid w:val="37CE1367"/>
    <w:rsid w:val="3834566E"/>
    <w:rsid w:val="38484E3E"/>
    <w:rsid w:val="38514471"/>
    <w:rsid w:val="38A5089C"/>
    <w:rsid w:val="38CA3484"/>
    <w:rsid w:val="39E62997"/>
    <w:rsid w:val="3A147A60"/>
    <w:rsid w:val="3A6D7CF3"/>
    <w:rsid w:val="3AB05E6C"/>
    <w:rsid w:val="3ACF167E"/>
    <w:rsid w:val="3B9A612F"/>
    <w:rsid w:val="3BE41159"/>
    <w:rsid w:val="3BFA71F9"/>
    <w:rsid w:val="3C0E6BAC"/>
    <w:rsid w:val="3C942B7F"/>
    <w:rsid w:val="3CA64660"/>
    <w:rsid w:val="3CAD2B7D"/>
    <w:rsid w:val="3CC2593E"/>
    <w:rsid w:val="3D3103CE"/>
    <w:rsid w:val="3D566086"/>
    <w:rsid w:val="3E32264F"/>
    <w:rsid w:val="3E3A1504"/>
    <w:rsid w:val="3E546A69"/>
    <w:rsid w:val="3E834C59"/>
    <w:rsid w:val="3EA846BF"/>
    <w:rsid w:val="3EBC63BD"/>
    <w:rsid w:val="3EFB5137"/>
    <w:rsid w:val="3F0B4C4E"/>
    <w:rsid w:val="3F20694C"/>
    <w:rsid w:val="3F5D3C35"/>
    <w:rsid w:val="3F650802"/>
    <w:rsid w:val="3F7E18C4"/>
    <w:rsid w:val="3FB157F6"/>
    <w:rsid w:val="3FCA3682"/>
    <w:rsid w:val="401A15ED"/>
    <w:rsid w:val="402E6E46"/>
    <w:rsid w:val="403A3A3D"/>
    <w:rsid w:val="40831BB9"/>
    <w:rsid w:val="40A1586A"/>
    <w:rsid w:val="40AB3B81"/>
    <w:rsid w:val="40C652D1"/>
    <w:rsid w:val="40F0234E"/>
    <w:rsid w:val="40F41E3E"/>
    <w:rsid w:val="41105B1C"/>
    <w:rsid w:val="4117217C"/>
    <w:rsid w:val="41232723"/>
    <w:rsid w:val="41433991"/>
    <w:rsid w:val="418E2292"/>
    <w:rsid w:val="41A75102"/>
    <w:rsid w:val="41FF4F3E"/>
    <w:rsid w:val="42246753"/>
    <w:rsid w:val="4242307D"/>
    <w:rsid w:val="42B37AD7"/>
    <w:rsid w:val="42C65A5C"/>
    <w:rsid w:val="43081698"/>
    <w:rsid w:val="43236A0A"/>
    <w:rsid w:val="432A3781"/>
    <w:rsid w:val="438F40A0"/>
    <w:rsid w:val="44056110"/>
    <w:rsid w:val="444906F3"/>
    <w:rsid w:val="44561F95"/>
    <w:rsid w:val="44692B43"/>
    <w:rsid w:val="44781916"/>
    <w:rsid w:val="4487121B"/>
    <w:rsid w:val="449F6565"/>
    <w:rsid w:val="44C42088"/>
    <w:rsid w:val="45336CAD"/>
    <w:rsid w:val="455E1F7C"/>
    <w:rsid w:val="45941E41"/>
    <w:rsid w:val="45C02C36"/>
    <w:rsid w:val="45C85BE6"/>
    <w:rsid w:val="45DD5596"/>
    <w:rsid w:val="45FE618C"/>
    <w:rsid w:val="46784184"/>
    <w:rsid w:val="46827EEC"/>
    <w:rsid w:val="46955E71"/>
    <w:rsid w:val="46A63BDA"/>
    <w:rsid w:val="46B81B60"/>
    <w:rsid w:val="47266AC9"/>
    <w:rsid w:val="477B5067"/>
    <w:rsid w:val="478101A3"/>
    <w:rsid w:val="478F466E"/>
    <w:rsid w:val="48382F58"/>
    <w:rsid w:val="484216E1"/>
    <w:rsid w:val="488E4926"/>
    <w:rsid w:val="48A405ED"/>
    <w:rsid w:val="49284D7B"/>
    <w:rsid w:val="49311755"/>
    <w:rsid w:val="497C0C22"/>
    <w:rsid w:val="49BD69A9"/>
    <w:rsid w:val="4A4A2ACF"/>
    <w:rsid w:val="4A800BE6"/>
    <w:rsid w:val="4A943797"/>
    <w:rsid w:val="4AA70671"/>
    <w:rsid w:val="4ACF1DA8"/>
    <w:rsid w:val="4AF13892"/>
    <w:rsid w:val="4B29302C"/>
    <w:rsid w:val="4B3C2D5F"/>
    <w:rsid w:val="4BC863A1"/>
    <w:rsid w:val="4BE8259F"/>
    <w:rsid w:val="4C0F7955"/>
    <w:rsid w:val="4C5325D2"/>
    <w:rsid w:val="4CB46925"/>
    <w:rsid w:val="4CD3324F"/>
    <w:rsid w:val="4CF11927"/>
    <w:rsid w:val="4D0A29E9"/>
    <w:rsid w:val="4D0F1DAD"/>
    <w:rsid w:val="4D1D271C"/>
    <w:rsid w:val="4DA92202"/>
    <w:rsid w:val="4E061402"/>
    <w:rsid w:val="4E4D5283"/>
    <w:rsid w:val="4E742810"/>
    <w:rsid w:val="4E8D1FA1"/>
    <w:rsid w:val="4EA824BA"/>
    <w:rsid w:val="4EDB463D"/>
    <w:rsid w:val="4F294349"/>
    <w:rsid w:val="4F5B752C"/>
    <w:rsid w:val="50100A52"/>
    <w:rsid w:val="502E67CE"/>
    <w:rsid w:val="504B2073"/>
    <w:rsid w:val="50666188"/>
    <w:rsid w:val="5078315D"/>
    <w:rsid w:val="50937498"/>
    <w:rsid w:val="509E1DC6"/>
    <w:rsid w:val="50B82E88"/>
    <w:rsid w:val="50BE1539"/>
    <w:rsid w:val="51037E7B"/>
    <w:rsid w:val="51514BE5"/>
    <w:rsid w:val="51730B5D"/>
    <w:rsid w:val="51A927D1"/>
    <w:rsid w:val="52B0193D"/>
    <w:rsid w:val="52C5363A"/>
    <w:rsid w:val="52D970E6"/>
    <w:rsid w:val="53160B7D"/>
    <w:rsid w:val="53177F46"/>
    <w:rsid w:val="535D1AC5"/>
    <w:rsid w:val="53B37BD1"/>
    <w:rsid w:val="53D016E4"/>
    <w:rsid w:val="5411465D"/>
    <w:rsid w:val="541E10A8"/>
    <w:rsid w:val="543A0058"/>
    <w:rsid w:val="543F741C"/>
    <w:rsid w:val="54705828"/>
    <w:rsid w:val="54D1276A"/>
    <w:rsid w:val="54D37CD6"/>
    <w:rsid w:val="54E3424B"/>
    <w:rsid w:val="5536081F"/>
    <w:rsid w:val="558D41B7"/>
    <w:rsid w:val="56075FF1"/>
    <w:rsid w:val="563034C0"/>
    <w:rsid w:val="56334D5F"/>
    <w:rsid w:val="563429F5"/>
    <w:rsid w:val="56B76D8B"/>
    <w:rsid w:val="57016C0B"/>
    <w:rsid w:val="57160908"/>
    <w:rsid w:val="57364B06"/>
    <w:rsid w:val="577606F8"/>
    <w:rsid w:val="57947A7F"/>
    <w:rsid w:val="57E95805"/>
    <w:rsid w:val="58535244"/>
    <w:rsid w:val="58787AC2"/>
    <w:rsid w:val="58816255"/>
    <w:rsid w:val="588E05B5"/>
    <w:rsid w:val="58BC728D"/>
    <w:rsid w:val="58CF5213"/>
    <w:rsid w:val="58E30CBE"/>
    <w:rsid w:val="595E20F3"/>
    <w:rsid w:val="596D2336"/>
    <w:rsid w:val="59710078"/>
    <w:rsid w:val="5971108F"/>
    <w:rsid w:val="597436C4"/>
    <w:rsid w:val="59961079"/>
    <w:rsid w:val="59DE3233"/>
    <w:rsid w:val="59F667CF"/>
    <w:rsid w:val="5A056A12"/>
    <w:rsid w:val="5A2908F2"/>
    <w:rsid w:val="5A7A11AE"/>
    <w:rsid w:val="5A89319F"/>
    <w:rsid w:val="5AC97A40"/>
    <w:rsid w:val="5AEA369E"/>
    <w:rsid w:val="5AEE750A"/>
    <w:rsid w:val="5B21162A"/>
    <w:rsid w:val="5B5714EF"/>
    <w:rsid w:val="5BA34735"/>
    <w:rsid w:val="5BBC1352"/>
    <w:rsid w:val="5BCA1CC1"/>
    <w:rsid w:val="5BD20B76"/>
    <w:rsid w:val="5C272C70"/>
    <w:rsid w:val="5C361105"/>
    <w:rsid w:val="5C531CB7"/>
    <w:rsid w:val="5C5D0D87"/>
    <w:rsid w:val="5C9D73D6"/>
    <w:rsid w:val="5CB70498"/>
    <w:rsid w:val="5CD252D1"/>
    <w:rsid w:val="5D431D2B"/>
    <w:rsid w:val="5DD9763D"/>
    <w:rsid w:val="5E4F2952"/>
    <w:rsid w:val="5E9D546B"/>
    <w:rsid w:val="5EB50A07"/>
    <w:rsid w:val="5F351B48"/>
    <w:rsid w:val="5F4C6B89"/>
    <w:rsid w:val="5F926F9A"/>
    <w:rsid w:val="5FA840C8"/>
    <w:rsid w:val="5FC829BC"/>
    <w:rsid w:val="5FE84E0C"/>
    <w:rsid w:val="60003F04"/>
    <w:rsid w:val="600F4147"/>
    <w:rsid w:val="607B7A2E"/>
    <w:rsid w:val="607D5554"/>
    <w:rsid w:val="60DB04CD"/>
    <w:rsid w:val="60EE1FAE"/>
    <w:rsid w:val="61047A23"/>
    <w:rsid w:val="61271964"/>
    <w:rsid w:val="614E6EF1"/>
    <w:rsid w:val="615E6D70"/>
    <w:rsid w:val="619863BE"/>
    <w:rsid w:val="61C013FD"/>
    <w:rsid w:val="620A1069"/>
    <w:rsid w:val="627209BD"/>
    <w:rsid w:val="63506F50"/>
    <w:rsid w:val="638E7A78"/>
    <w:rsid w:val="6393508F"/>
    <w:rsid w:val="63DA2CBD"/>
    <w:rsid w:val="63DD630A"/>
    <w:rsid w:val="63F20007"/>
    <w:rsid w:val="64414AEB"/>
    <w:rsid w:val="64485E79"/>
    <w:rsid w:val="64754794"/>
    <w:rsid w:val="650E0E71"/>
    <w:rsid w:val="655F16CC"/>
    <w:rsid w:val="65C15EE3"/>
    <w:rsid w:val="665B6338"/>
    <w:rsid w:val="66611474"/>
    <w:rsid w:val="66860EDB"/>
    <w:rsid w:val="66CB2414"/>
    <w:rsid w:val="67114C48"/>
    <w:rsid w:val="6712276E"/>
    <w:rsid w:val="6723497B"/>
    <w:rsid w:val="677D5E3A"/>
    <w:rsid w:val="679F04A6"/>
    <w:rsid w:val="67BD092C"/>
    <w:rsid w:val="67E22141"/>
    <w:rsid w:val="68336E40"/>
    <w:rsid w:val="686455DF"/>
    <w:rsid w:val="689B1739"/>
    <w:rsid w:val="68CD2DF1"/>
    <w:rsid w:val="68EE4BAC"/>
    <w:rsid w:val="68F77E6E"/>
    <w:rsid w:val="691722BE"/>
    <w:rsid w:val="6917406C"/>
    <w:rsid w:val="691B590A"/>
    <w:rsid w:val="695D5F23"/>
    <w:rsid w:val="696A0640"/>
    <w:rsid w:val="69847953"/>
    <w:rsid w:val="69935DE8"/>
    <w:rsid w:val="69A973BA"/>
    <w:rsid w:val="69DD23A3"/>
    <w:rsid w:val="69DF102E"/>
    <w:rsid w:val="6A5A06B4"/>
    <w:rsid w:val="6A6B0B13"/>
    <w:rsid w:val="6AA54025"/>
    <w:rsid w:val="6C027255"/>
    <w:rsid w:val="6C2A305D"/>
    <w:rsid w:val="6C4E35E5"/>
    <w:rsid w:val="6C97799E"/>
    <w:rsid w:val="6CAF53E6"/>
    <w:rsid w:val="6CB24EA6"/>
    <w:rsid w:val="6CDE703F"/>
    <w:rsid w:val="6CED562C"/>
    <w:rsid w:val="6CEF1588"/>
    <w:rsid w:val="6D042B59"/>
    <w:rsid w:val="6D196605"/>
    <w:rsid w:val="6D4318D3"/>
    <w:rsid w:val="6D6F4477"/>
    <w:rsid w:val="6DBE71AC"/>
    <w:rsid w:val="6DD8026E"/>
    <w:rsid w:val="6DFD5F26"/>
    <w:rsid w:val="6E020E0C"/>
    <w:rsid w:val="6E49116B"/>
    <w:rsid w:val="6E851A78"/>
    <w:rsid w:val="6EB760D5"/>
    <w:rsid w:val="6EC145CC"/>
    <w:rsid w:val="6EEB5D7F"/>
    <w:rsid w:val="6F255735"/>
    <w:rsid w:val="6F6873CF"/>
    <w:rsid w:val="6FB46AB9"/>
    <w:rsid w:val="6FD14B4C"/>
    <w:rsid w:val="6FE729EA"/>
    <w:rsid w:val="700F0193"/>
    <w:rsid w:val="704F058F"/>
    <w:rsid w:val="705B6F34"/>
    <w:rsid w:val="705F6A24"/>
    <w:rsid w:val="708A5AD1"/>
    <w:rsid w:val="70D751AD"/>
    <w:rsid w:val="70E549B7"/>
    <w:rsid w:val="70F536C8"/>
    <w:rsid w:val="712B2DAA"/>
    <w:rsid w:val="713F0604"/>
    <w:rsid w:val="71641E18"/>
    <w:rsid w:val="71973F9C"/>
    <w:rsid w:val="71DD22F7"/>
    <w:rsid w:val="723B526F"/>
    <w:rsid w:val="724063E2"/>
    <w:rsid w:val="727D0249"/>
    <w:rsid w:val="728C7879"/>
    <w:rsid w:val="72BD5C84"/>
    <w:rsid w:val="72C5237C"/>
    <w:rsid w:val="72DD00D4"/>
    <w:rsid w:val="72EB27F1"/>
    <w:rsid w:val="736425A4"/>
    <w:rsid w:val="738D1AFA"/>
    <w:rsid w:val="73B91047"/>
    <w:rsid w:val="73E21E46"/>
    <w:rsid w:val="74145D78"/>
    <w:rsid w:val="746740F9"/>
    <w:rsid w:val="748D1686"/>
    <w:rsid w:val="74D379E1"/>
    <w:rsid w:val="75114065"/>
    <w:rsid w:val="76320737"/>
    <w:rsid w:val="769D2054"/>
    <w:rsid w:val="773504DF"/>
    <w:rsid w:val="7755292F"/>
    <w:rsid w:val="777C4360"/>
    <w:rsid w:val="77CE4490"/>
    <w:rsid w:val="77EB5041"/>
    <w:rsid w:val="783F0EE9"/>
    <w:rsid w:val="787D583C"/>
    <w:rsid w:val="788A03B6"/>
    <w:rsid w:val="78B418D7"/>
    <w:rsid w:val="78F32400"/>
    <w:rsid w:val="792737ED"/>
    <w:rsid w:val="793F0F0D"/>
    <w:rsid w:val="79B53B59"/>
    <w:rsid w:val="79DA5B24"/>
    <w:rsid w:val="79E41D48"/>
    <w:rsid w:val="79F93A46"/>
    <w:rsid w:val="7A13262E"/>
    <w:rsid w:val="7A187C44"/>
    <w:rsid w:val="7A401675"/>
    <w:rsid w:val="7A6B4218"/>
    <w:rsid w:val="7A9F47C8"/>
    <w:rsid w:val="7AC878BC"/>
    <w:rsid w:val="7B0D52CF"/>
    <w:rsid w:val="7B566C76"/>
    <w:rsid w:val="7B98728E"/>
    <w:rsid w:val="7BBB0F43"/>
    <w:rsid w:val="7BFA3AA5"/>
    <w:rsid w:val="7C1B74AF"/>
    <w:rsid w:val="7C255381"/>
    <w:rsid w:val="7C6D4277"/>
    <w:rsid w:val="7C703D67"/>
    <w:rsid w:val="7CBC51FE"/>
    <w:rsid w:val="7CEF1130"/>
    <w:rsid w:val="7D310A36"/>
    <w:rsid w:val="7D344D95"/>
    <w:rsid w:val="7D3B4375"/>
    <w:rsid w:val="7D625DA6"/>
    <w:rsid w:val="7D731D61"/>
    <w:rsid w:val="7D741635"/>
    <w:rsid w:val="7DE60785"/>
    <w:rsid w:val="7E105802"/>
    <w:rsid w:val="7E97382D"/>
    <w:rsid w:val="7EAF17AA"/>
    <w:rsid w:val="7EB73ECF"/>
    <w:rsid w:val="7EC14D4E"/>
    <w:rsid w:val="7ED95BF4"/>
    <w:rsid w:val="7EEA1BAF"/>
    <w:rsid w:val="7F01339C"/>
    <w:rsid w:val="7F0A3FFF"/>
    <w:rsid w:val="7F272E03"/>
    <w:rsid w:val="7F354B67"/>
    <w:rsid w:val="7F633DE8"/>
    <w:rsid w:val="7F6A2CF0"/>
    <w:rsid w:val="7F840255"/>
    <w:rsid w:val="7FC56178"/>
    <w:rsid w:val="7FED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077009B9F5744EE85C580EB0A6A3044"/>
        <w:style w:val=""/>
        <w:category>
          <w:name w:val="常规"/>
          <w:gallery w:val="placeholder"/>
        </w:category>
        <w:types>
          <w:type w:val="bbPlcHdr"/>
        </w:types>
        <w:behaviors>
          <w:behavior w:val="content"/>
        </w:behaviors>
        <w:description w:val=""/>
        <w:guid w:val="{F08322BF-429C-48C2-91E7-F11634E49CB5}"/>
      </w:docPartPr>
      <w:docPartBody>
        <w:p w14:paraId="5363790B">
          <w:pPr>
            <w:pStyle w:val="5"/>
          </w:pPr>
          <w:r>
            <w:rPr>
              <w:rStyle w:val="4"/>
              <w:rFonts w:hint="eastAsia"/>
            </w:rPr>
            <w:t>单击或点击此处输入文字。</w:t>
          </w:r>
        </w:p>
      </w:docPartBody>
    </w:docPart>
    <w:docPart>
      <w:docPartPr>
        <w:name w:val="DA2E36E6FA0B484BAB8FA1F971FE9E4E"/>
        <w:style w:val=""/>
        <w:category>
          <w:name w:val="常规"/>
          <w:gallery w:val="placeholder"/>
        </w:category>
        <w:types>
          <w:type w:val="bbPlcHdr"/>
        </w:types>
        <w:behaviors>
          <w:behavior w:val="content"/>
        </w:behaviors>
        <w:description w:val=""/>
        <w:guid w:val="{5D8C6069-D565-4288-BA34-B233640969B4}"/>
      </w:docPartPr>
      <w:docPartBody>
        <w:p w14:paraId="2ADACCA3">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C95"/>
    <w:rsid w:val="00025C95"/>
    <w:rsid w:val="001138D3"/>
    <w:rsid w:val="0049535D"/>
    <w:rsid w:val="00795BCE"/>
    <w:rsid w:val="008013ED"/>
    <w:rsid w:val="00931014"/>
    <w:rsid w:val="00AF0DB8"/>
    <w:rsid w:val="00C37EDE"/>
    <w:rsid w:val="00C816E7"/>
    <w:rsid w:val="00CE1AA3"/>
    <w:rsid w:val="00D65810"/>
    <w:rsid w:val="00DB4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077009B9F5744EE85C580EB0A6A304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E7C131BFB6CA44DC8840BF862CC2739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DA2E36E6FA0B484BAB8FA1F971FE9E4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3EB52C-A839-4D45-885A-4BBFF5C8E9A8}">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14</Pages>
  <Words>9217</Words>
  <Characters>9761</Characters>
  <Lines>86</Lines>
  <Paragraphs>24</Paragraphs>
  <TotalTime>0</TotalTime>
  <ScaleCrop>false</ScaleCrop>
  <LinksUpToDate>false</LinksUpToDate>
  <CharactersWithSpaces>10021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2024-07-16T01:52:00Z</dcterms:created>
  <dc:creator>Lenovo</dc:creator>
  <dc:description>&lt;config cover="true" show_menu="true" version="1.0.0" doctype="SDKXY"&gt;_x000d_
&lt;/config&gt;</dc:description>
  <cp:lastModifiedBy>王越</cp:lastModifiedBy>
  <cp:lastPrinted>2020-08-30T10:00:00Z</cp:lastPrinted>
  <dcterms:modified xsi:type="dcterms:W3CDTF">2024-08-14T01:35:56Z</dcterms:modified>
  <dc:title>地方标准</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2052-12.1.0.17827</vt:lpwstr>
  </property>
  <property fmtid="{D5CDD505-2E9C-101B-9397-08002B2CF9AE}" pid="15" name="ICV">
    <vt:lpwstr>448F0C073A4B4653B474C4CDB1C769FE_13</vt:lpwstr>
  </property>
</Properties>
</file>