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760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8A3E3B">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3824369">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t xml:space="preserve"> </w:t>
            </w:r>
            <w:r>
              <w:rPr>
                <w:rFonts w:ascii="黑体" w:hAnsi="黑体" w:eastAsia="黑体"/>
                <w:sz w:val="21"/>
                <w:szCs w:val="21"/>
              </w:rPr>
              <w:fldChar w:fldCharType="end"/>
            </w:r>
            <w:bookmarkEnd w:id="0"/>
          </w:p>
        </w:tc>
      </w:tr>
      <w:tr w14:paraId="5F68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A9A31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FE3C0D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2F5C6F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5CADFBA">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09DF2796">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0FE52E6">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7BF1E3E">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9F7FE7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9E95806">
      <w:pPr>
        <w:pStyle w:val="50"/>
        <w:framePr w:w="9639" w:h="6976" w:hRule="exact" w:hSpace="0" w:vSpace="0" w:wrap="around" w:hAnchor="page" w:y="6408"/>
        <w:jc w:val="center"/>
        <w:rPr>
          <w:rFonts w:hint="eastAsia" w:ascii="黑体" w:hAnsi="黑体" w:eastAsia="黑体"/>
          <w:b w:val="0"/>
          <w:bCs w:val="0"/>
          <w:w w:val="100"/>
        </w:rPr>
      </w:pPr>
    </w:p>
    <w:p w14:paraId="57E29447">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农作物病虫害监测调查技术规范 第6部分</w:t>
      </w:r>
      <w:r>
        <w:t>  </w:t>
      </w:r>
      <w:r>
        <w:rPr>
          <w:rFonts w:hint="eastAsia"/>
        </w:rPr>
        <w:t>花生叶斑病</w:t>
      </w:r>
      <w:r>
        <w:t>   </w:t>
      </w:r>
      <w:r>
        <w:fldChar w:fldCharType="end"/>
      </w:r>
      <w:bookmarkEnd w:id="9"/>
    </w:p>
    <w:p w14:paraId="2A5F472E">
      <w:pPr>
        <w:framePr w:w="9639" w:h="6974" w:hRule="exact" w:wrap="around" w:vAnchor="page" w:hAnchor="page" w:x="1419" w:y="6408" w:anchorLock="1"/>
        <w:ind w:left="-1418"/>
      </w:pPr>
    </w:p>
    <w:p w14:paraId="243A6BF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04C4AFA">
      <w:pPr>
        <w:framePr w:w="9639" w:h="6974" w:hRule="exact" w:wrap="around" w:vAnchor="page" w:hAnchor="page" w:x="1419" w:y="6408" w:anchorLock="1"/>
        <w:spacing w:line="760" w:lineRule="exact"/>
        <w:ind w:left="-1418"/>
      </w:pPr>
    </w:p>
    <w:p w14:paraId="39E542C5">
      <w:pPr>
        <w:pStyle w:val="125"/>
        <w:framePr w:w="9639" w:h="6974" w:hRule="exact" w:wrap="around" w:vAnchor="page" w:hAnchor="page" w:x="1419" w:y="6408" w:anchorLock="1"/>
        <w:textAlignment w:val="bottom"/>
        <w:rPr>
          <w:rFonts w:eastAsia="黑体"/>
          <w:szCs w:val="28"/>
        </w:rPr>
      </w:pPr>
    </w:p>
    <w:p w14:paraId="2B3F536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76FC6C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62A704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5222A6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AC1D71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96531C4">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AE7F20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D539C6A">
      <w:pPr>
        <w:pStyle w:val="89"/>
        <w:spacing w:after="468"/>
        <w:rPr>
          <w:rFonts w:hint="eastAsia"/>
        </w:rPr>
      </w:pPr>
      <w:bookmarkStart w:id="21" w:name="BookMark2"/>
      <w:r>
        <w:rPr>
          <w:rFonts w:hint="eastAsia"/>
          <w:spacing w:val="320"/>
        </w:rPr>
        <w:t>前</w:t>
      </w:r>
      <w:r>
        <w:rPr>
          <w:rFonts w:hint="eastAsia"/>
        </w:rPr>
        <w:t>言</w:t>
      </w:r>
    </w:p>
    <w:p w14:paraId="4730D889">
      <w:pPr>
        <w:pStyle w:val="56"/>
        <w:ind w:firstLine="420"/>
        <w:rPr>
          <w:rFonts w:hint="eastAsia"/>
        </w:rPr>
      </w:pPr>
      <w:r>
        <w:rPr>
          <w:rFonts w:hint="eastAsia"/>
        </w:rPr>
        <w:t>本文件按照GB/T 1.1—2020《标准化工作导则  第1部分：标准化文件的结构和起草规则》的规定起草。</w:t>
      </w:r>
    </w:p>
    <w:p w14:paraId="4B169CD2">
      <w:pPr>
        <w:pStyle w:val="56"/>
        <w:ind w:firstLine="420"/>
      </w:pPr>
      <w:r>
        <w:rPr>
          <w:rFonts w:hint="eastAsia"/>
        </w:rPr>
        <w:t>《农作物病虫害监测调查技术规范》计划发布以下部分</w:t>
      </w:r>
    </w:p>
    <w:p w14:paraId="450B3F51">
      <w:pPr>
        <w:pStyle w:val="56"/>
        <w:ind w:firstLine="420"/>
        <w:rPr>
          <w:rFonts w:hint="eastAsia"/>
        </w:rPr>
      </w:pPr>
      <w:r>
        <w:rPr>
          <w:rFonts w:hint="eastAsia"/>
        </w:rPr>
        <w:t>—第1部分  总则</w:t>
      </w:r>
    </w:p>
    <w:p w14:paraId="3C5DF915">
      <w:pPr>
        <w:pStyle w:val="56"/>
        <w:ind w:firstLine="420"/>
      </w:pPr>
      <w:r>
        <w:rPr>
          <w:rFonts w:hint="eastAsia"/>
        </w:rPr>
        <w:t>--第</w:t>
      </w:r>
      <w:r>
        <w:rPr>
          <w:rFonts w:hint="eastAsia"/>
          <w:lang w:val="en-US" w:eastAsia="zh-CN"/>
        </w:rPr>
        <w:t>2</w:t>
      </w:r>
      <w:r>
        <w:rPr>
          <w:rFonts w:hint="eastAsia"/>
        </w:rPr>
        <w:t>部分：玉米大斑病</w:t>
      </w:r>
    </w:p>
    <w:p w14:paraId="01FD7DCC">
      <w:pPr>
        <w:pStyle w:val="56"/>
        <w:ind w:firstLine="420"/>
      </w:pPr>
      <w:r>
        <w:rPr>
          <w:rFonts w:hint="eastAsia"/>
        </w:rPr>
        <w:t>--第</w:t>
      </w:r>
      <w:r>
        <w:rPr>
          <w:rFonts w:hint="eastAsia"/>
          <w:lang w:val="en-US" w:eastAsia="zh-CN"/>
        </w:rPr>
        <w:t>3</w:t>
      </w:r>
      <w:r>
        <w:rPr>
          <w:rFonts w:hint="eastAsia"/>
        </w:rPr>
        <w:t>部分：玉米螟</w:t>
      </w:r>
    </w:p>
    <w:p w14:paraId="1CE5A531">
      <w:pPr>
        <w:pStyle w:val="56"/>
        <w:ind w:firstLine="420"/>
      </w:pPr>
      <w:r>
        <w:rPr>
          <w:rFonts w:hint="eastAsia"/>
        </w:rPr>
        <w:t>--</w:t>
      </w:r>
      <w:r>
        <w:t xml:space="preserve"> </w:t>
      </w:r>
      <w:r>
        <w:rPr>
          <w:rFonts w:hint="eastAsia"/>
        </w:rPr>
        <w:t>第</w:t>
      </w:r>
      <w:r>
        <w:rPr>
          <w:rFonts w:hint="eastAsia"/>
          <w:lang w:val="en-US" w:eastAsia="zh-CN"/>
        </w:rPr>
        <w:t>4</w:t>
      </w:r>
      <w:r>
        <w:rPr>
          <w:rFonts w:hint="eastAsia"/>
        </w:rPr>
        <w:t>部分：稻瘟病</w:t>
      </w:r>
    </w:p>
    <w:p w14:paraId="50DF109B">
      <w:pPr>
        <w:pStyle w:val="56"/>
        <w:ind w:firstLine="420"/>
      </w:pPr>
      <w:r>
        <w:rPr>
          <w:rFonts w:hint="eastAsia"/>
        </w:rPr>
        <w:t>--第</w:t>
      </w:r>
      <w:r>
        <w:rPr>
          <w:rFonts w:hint="eastAsia"/>
          <w:lang w:val="en-US" w:eastAsia="zh-CN"/>
        </w:rPr>
        <w:t>5</w:t>
      </w:r>
      <w:r>
        <w:rPr>
          <w:rFonts w:hint="eastAsia"/>
        </w:rPr>
        <w:t>部分：二化螟</w:t>
      </w:r>
    </w:p>
    <w:p w14:paraId="07ECA75B">
      <w:pPr>
        <w:pStyle w:val="56"/>
        <w:ind w:firstLine="420"/>
      </w:pPr>
      <w:r>
        <w:rPr>
          <w:rFonts w:hint="eastAsia"/>
        </w:rPr>
        <w:t>--第</w:t>
      </w:r>
      <w:r>
        <w:rPr>
          <w:rFonts w:hint="eastAsia"/>
          <w:lang w:val="en-US" w:eastAsia="zh-CN"/>
        </w:rPr>
        <w:t>6</w:t>
      </w:r>
      <w:r>
        <w:rPr>
          <w:rFonts w:hint="eastAsia"/>
        </w:rPr>
        <w:t>部分：花生叶斑病</w:t>
      </w:r>
    </w:p>
    <w:p w14:paraId="37F247B1">
      <w:pPr>
        <w:pStyle w:val="56"/>
        <w:ind w:firstLine="420"/>
      </w:pPr>
      <w:r>
        <w:rPr>
          <w:rFonts w:hint="eastAsia"/>
        </w:rPr>
        <w:t>--第</w:t>
      </w:r>
      <w:r>
        <w:rPr>
          <w:rFonts w:hint="eastAsia"/>
          <w:lang w:val="en-US" w:eastAsia="zh-CN"/>
        </w:rPr>
        <w:t>7</w:t>
      </w:r>
      <w:r>
        <w:rPr>
          <w:rFonts w:hint="eastAsia"/>
        </w:rPr>
        <w:t>部分：粘虫</w:t>
      </w:r>
    </w:p>
    <w:p w14:paraId="470F4EAD">
      <w:pPr>
        <w:pStyle w:val="56"/>
        <w:ind w:firstLine="420"/>
        <w:rPr>
          <w:rFonts w:hint="eastAsia"/>
          <w:lang w:val="en-US" w:eastAsia="zh-CN"/>
        </w:rPr>
      </w:pPr>
      <w:r>
        <w:rPr>
          <w:rFonts w:hint="eastAsia"/>
        </w:rPr>
        <w:t>--第</w:t>
      </w:r>
      <w:r>
        <w:rPr>
          <w:rFonts w:hint="eastAsia"/>
          <w:lang w:val="en-US" w:eastAsia="zh-CN"/>
        </w:rPr>
        <w:t>8</w:t>
      </w:r>
      <w:r>
        <w:rPr>
          <w:rFonts w:hint="eastAsia"/>
        </w:rPr>
        <w:t>部分：</w:t>
      </w:r>
      <w:r>
        <w:rPr>
          <w:rFonts w:hint="eastAsia"/>
          <w:lang w:val="en-US" w:eastAsia="zh-CN"/>
        </w:rPr>
        <w:t>棉铃虫</w:t>
      </w:r>
    </w:p>
    <w:p w14:paraId="301BF85C">
      <w:pPr>
        <w:pStyle w:val="56"/>
        <w:ind w:firstLine="420"/>
      </w:pPr>
      <w:r>
        <w:rPr>
          <w:rFonts w:hint="eastAsia"/>
        </w:rPr>
        <w:t>--第</w:t>
      </w:r>
      <w:r>
        <w:rPr>
          <w:rFonts w:hint="eastAsia"/>
          <w:lang w:val="en-US" w:eastAsia="zh-CN"/>
        </w:rPr>
        <w:t>9</w:t>
      </w:r>
      <w:r>
        <w:rPr>
          <w:rFonts w:hint="eastAsia"/>
        </w:rPr>
        <w:t>部分：灰飞虱</w:t>
      </w:r>
    </w:p>
    <w:p w14:paraId="442ADA65">
      <w:pPr>
        <w:pStyle w:val="56"/>
        <w:ind w:firstLine="420"/>
      </w:pPr>
      <w:r>
        <w:rPr>
          <w:rFonts w:hint="eastAsia"/>
        </w:rPr>
        <w:t>--第</w:t>
      </w:r>
      <w:r>
        <w:rPr>
          <w:rFonts w:hint="eastAsia"/>
          <w:lang w:val="en-US" w:eastAsia="zh-CN"/>
        </w:rPr>
        <w:t>10</w:t>
      </w:r>
      <w:r>
        <w:rPr>
          <w:rFonts w:hint="eastAsia"/>
        </w:rPr>
        <w:t>部分：水稻纹枯病</w:t>
      </w:r>
    </w:p>
    <w:p w14:paraId="065324BC">
      <w:pPr>
        <w:pStyle w:val="56"/>
        <w:ind w:firstLine="420"/>
      </w:pPr>
      <w:r>
        <w:rPr>
          <w:rFonts w:hint="eastAsia"/>
        </w:rPr>
        <w:t>--第</w:t>
      </w:r>
      <w:r>
        <w:rPr>
          <w:rFonts w:hint="eastAsia"/>
          <w:lang w:val="en-US" w:eastAsia="zh-CN"/>
        </w:rPr>
        <w:t>11</w:t>
      </w:r>
      <w:r>
        <w:rPr>
          <w:rFonts w:hint="eastAsia"/>
        </w:rPr>
        <w:t>部分：马铃薯晚疫病</w:t>
      </w:r>
    </w:p>
    <w:p w14:paraId="3626F756">
      <w:pPr>
        <w:pStyle w:val="56"/>
        <w:ind w:firstLine="420"/>
        <w:rPr>
          <w:rFonts w:hint="eastAsia" w:eastAsia="宋体"/>
          <w:lang w:val="en-US" w:eastAsia="zh-CN"/>
        </w:rPr>
      </w:pPr>
      <w:r>
        <w:rPr>
          <w:rFonts w:hint="eastAsia"/>
        </w:rPr>
        <w:t>—第1</w:t>
      </w:r>
      <w:r>
        <w:rPr>
          <w:rFonts w:hint="eastAsia"/>
          <w:lang w:val="en-US" w:eastAsia="zh-CN"/>
        </w:rPr>
        <w:t>2</w:t>
      </w:r>
      <w:r>
        <w:rPr>
          <w:rFonts w:hint="eastAsia"/>
        </w:rPr>
        <w:t>部分：</w:t>
      </w:r>
      <w:r>
        <w:rPr>
          <w:rFonts w:hint="eastAsia"/>
          <w:lang w:val="en-US" w:eastAsia="zh-CN"/>
        </w:rPr>
        <w:t>地下害虫</w:t>
      </w:r>
    </w:p>
    <w:p w14:paraId="369D1B8D">
      <w:pPr>
        <w:pStyle w:val="56"/>
        <w:ind w:firstLine="420"/>
      </w:pPr>
      <w:r>
        <w:rPr>
          <w:rFonts w:hint="eastAsia"/>
        </w:rPr>
        <w:t>—第1</w:t>
      </w:r>
      <w:r>
        <w:rPr>
          <w:rFonts w:hint="eastAsia"/>
          <w:lang w:val="en-US" w:eastAsia="zh-CN"/>
        </w:rPr>
        <w:t>3</w:t>
      </w:r>
      <w:r>
        <w:rPr>
          <w:rFonts w:hint="eastAsia"/>
        </w:rPr>
        <w:t>部分：番茄潜叶蛾</w:t>
      </w:r>
    </w:p>
    <w:p w14:paraId="536D7C92">
      <w:pPr>
        <w:pStyle w:val="56"/>
        <w:ind w:firstLine="420"/>
      </w:pPr>
      <w:r>
        <w:rPr>
          <w:rFonts w:hint="eastAsia"/>
        </w:rPr>
        <w:t>—第1</w:t>
      </w:r>
      <w:r>
        <w:rPr>
          <w:rFonts w:hint="eastAsia"/>
          <w:lang w:val="en-US" w:eastAsia="zh-CN"/>
        </w:rPr>
        <w:t>4</w:t>
      </w:r>
      <w:r>
        <w:rPr>
          <w:rFonts w:hint="eastAsia"/>
        </w:rPr>
        <w:t>部分：甜菜夜蛾</w:t>
      </w:r>
    </w:p>
    <w:p w14:paraId="7E03022B">
      <w:pPr>
        <w:pStyle w:val="56"/>
        <w:ind w:firstLine="420"/>
        <w:rPr>
          <w:rFonts w:hint="eastAsia"/>
        </w:rPr>
      </w:pPr>
      <w:r>
        <w:rPr>
          <w:rFonts w:hint="eastAsia"/>
        </w:rPr>
        <w:t>—第1</w:t>
      </w:r>
      <w:r>
        <w:rPr>
          <w:rFonts w:hint="eastAsia"/>
          <w:lang w:val="en-US" w:eastAsia="zh-CN"/>
        </w:rPr>
        <w:t>5</w:t>
      </w:r>
      <w:r>
        <w:rPr>
          <w:rFonts w:hint="eastAsia"/>
        </w:rPr>
        <w:t>部分：玉米白斑病</w:t>
      </w:r>
    </w:p>
    <w:p w14:paraId="21B4D977">
      <w:pPr>
        <w:pStyle w:val="56"/>
        <w:ind w:firstLine="420"/>
        <w:rPr>
          <w:rFonts w:hint="default" w:eastAsia="宋体"/>
          <w:lang w:val="en-US" w:eastAsia="zh-CN"/>
        </w:rPr>
      </w:pPr>
      <w:r>
        <w:rPr>
          <w:rFonts w:hint="eastAsia"/>
          <w:lang w:val="en-US" w:eastAsia="zh-CN"/>
        </w:rPr>
        <w:t>......</w:t>
      </w:r>
    </w:p>
    <w:p w14:paraId="587DCF77">
      <w:pPr>
        <w:pStyle w:val="56"/>
        <w:ind w:firstLine="420"/>
      </w:pPr>
      <w:bookmarkStart w:id="42" w:name="_GoBack"/>
      <w:bookmarkEnd w:id="42"/>
      <w:r>
        <w:rPr>
          <w:rFonts w:hint="eastAsia"/>
        </w:rPr>
        <w:t>本文件是《农作物病虫害监测调查技术规范》的第6部分。</w:t>
      </w:r>
    </w:p>
    <w:p w14:paraId="6D8CFF70">
      <w:pPr>
        <w:pStyle w:val="56"/>
        <w:ind w:firstLine="420"/>
        <w:rPr>
          <w:rFonts w:hint="eastAsia"/>
        </w:rPr>
      </w:pPr>
      <w:r>
        <w:rPr>
          <w:rFonts w:hint="eastAsia"/>
        </w:rPr>
        <w:t>请注意本文件的某些内容可能涉及专利。本文件的发布机构不承担识别专利的责任</w:t>
      </w:r>
    </w:p>
    <w:p w14:paraId="55306B84">
      <w:pPr>
        <w:pStyle w:val="56"/>
        <w:ind w:firstLine="420"/>
        <w:rPr>
          <w:rFonts w:hint="eastAsia"/>
        </w:rPr>
      </w:pPr>
      <w:r>
        <w:rPr>
          <w:rFonts w:hint="eastAsia"/>
        </w:rPr>
        <w:t>本文件由辽宁省农业农村厅提出并归口</w:t>
      </w:r>
    </w:p>
    <w:p w14:paraId="3D997C4C">
      <w:pPr>
        <w:pStyle w:val="56"/>
        <w:ind w:firstLine="420"/>
        <w:rPr>
          <w:rFonts w:hint="eastAsia"/>
        </w:rPr>
      </w:pPr>
      <w:r>
        <w:rPr>
          <w:rFonts w:hint="eastAsia"/>
        </w:rPr>
        <w:t>本文件起草单位：辽宁省植保植检总站。</w:t>
      </w:r>
    </w:p>
    <w:p w14:paraId="4442452D">
      <w:pPr>
        <w:pStyle w:val="56"/>
        <w:ind w:firstLine="420"/>
        <w:rPr>
          <w:rFonts w:hint="eastAsia"/>
        </w:rPr>
      </w:pPr>
      <w:r>
        <w:rPr>
          <w:rFonts w:hint="eastAsia"/>
        </w:rPr>
        <w:t>本文件主要起草人：张万民、</w:t>
      </w:r>
      <w:r>
        <w:rPr>
          <w:rFonts w:hint="eastAsia"/>
          <w:lang w:val="en-US" w:eastAsia="zh-CN"/>
        </w:rPr>
        <w:t>张丹、</w:t>
      </w:r>
      <w:r>
        <w:rPr>
          <w:rFonts w:hint="eastAsia"/>
        </w:rPr>
        <w:t>孟威、屈丽莉、李眷、宋露。</w:t>
      </w:r>
    </w:p>
    <w:p w14:paraId="3D64B9D2">
      <w:pPr>
        <w:pStyle w:val="56"/>
        <w:ind w:firstLine="420"/>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14:paraId="5C398B66">
      <w:pPr>
        <w:pStyle w:val="56"/>
        <w:ind w:firstLine="420"/>
        <w:rPr>
          <w:rFonts w:hint="eastAsia"/>
        </w:rPr>
      </w:pPr>
      <w:r>
        <w:rPr>
          <w:rFonts w:hint="eastAsia"/>
        </w:rPr>
        <w:t>归口管理部门通讯地址：辽宁省农业农村厅（沈阳市和平区太原北街2号），联系电话：024-23447862。</w:t>
      </w:r>
    </w:p>
    <w:p w14:paraId="26A5A74A">
      <w:pPr>
        <w:pStyle w:val="56"/>
        <w:ind w:firstLine="420"/>
        <w:rPr>
          <w:rFonts w:hint="eastAsia"/>
        </w:rPr>
      </w:pPr>
      <w:r>
        <w:rPr>
          <w:rFonts w:hint="eastAsia"/>
        </w:rPr>
        <w:t>文件起草单位通讯地址：辽宁省植保植检总站（沈阳市长江北街39号），联系电话：024-86121771。</w:t>
      </w:r>
    </w:p>
    <w:p w14:paraId="344F1FAB">
      <w:pPr>
        <w:pStyle w:val="56"/>
        <w:ind w:firstLine="420"/>
      </w:pPr>
    </w:p>
    <w:p w14:paraId="471EE956">
      <w:pPr>
        <w:pStyle w:val="56"/>
        <w:ind w:firstLine="420"/>
      </w:pPr>
    </w:p>
    <w:p w14:paraId="044FE86D">
      <w:pPr>
        <w:pStyle w:val="56"/>
        <w:ind w:firstLine="420"/>
        <w:rPr>
          <w:rFonts w:hint="eastAsia"/>
        </w:rPr>
      </w:pPr>
    </w:p>
    <w:p w14:paraId="266BC115">
      <w:pPr>
        <w:pStyle w:val="56"/>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59D950E7">
      <w:pPr>
        <w:spacing w:line="20" w:lineRule="exact"/>
        <w:jc w:val="center"/>
        <w:rPr>
          <w:rFonts w:hint="eastAsia" w:ascii="黑体" w:hAnsi="黑体" w:eastAsia="黑体"/>
          <w:sz w:val="32"/>
          <w:szCs w:val="32"/>
        </w:rPr>
      </w:pPr>
      <w:bookmarkStart w:id="22" w:name="BookMark4"/>
    </w:p>
    <w:p w14:paraId="0101A2A9">
      <w:pPr>
        <w:spacing w:line="20" w:lineRule="exact"/>
        <w:jc w:val="center"/>
        <w:rPr>
          <w:rFonts w:hint="eastAsia" w:ascii="黑体" w:hAnsi="黑体" w:eastAsia="黑体"/>
          <w:sz w:val="32"/>
          <w:szCs w:val="32"/>
        </w:rPr>
      </w:pPr>
    </w:p>
    <w:sdt>
      <w:sdtPr>
        <w:tag w:val="NEW_STAND_NAME"/>
        <w:id w:val="595910757"/>
        <w:lock w:val="sdtLocked"/>
        <w:placeholder>
          <w:docPart w:val="1F8A701A0ED14E5AA50B53091C447AEF"/>
        </w:placeholder>
      </w:sdtPr>
      <w:sdtContent>
        <w:p w14:paraId="36C9E0B9">
          <w:pPr>
            <w:pStyle w:val="177"/>
            <w:spacing w:before="312" w:beforeLines="100" w:after="686" w:afterLines="220"/>
            <w:rPr>
              <w:rFonts w:hint="eastAsia"/>
            </w:rPr>
          </w:pPr>
          <w:bookmarkStart w:id="23" w:name="NEW_STAND_NAME"/>
          <w:r>
            <w:rPr>
              <w:rFonts w:hint="eastAsia"/>
            </w:rPr>
            <w:t>农作物病虫害监测调查技术规范</w:t>
          </w:r>
          <w:r>
            <w:t xml:space="preserve"> 第6部分  花生叶斑病   </w:t>
          </w:r>
        </w:p>
      </w:sdtContent>
    </w:sdt>
    <w:bookmarkEnd w:id="23"/>
    <w:p w14:paraId="79BEDCF1">
      <w:pPr>
        <w:pStyle w:val="104"/>
        <w:spacing w:before="312" w:after="312"/>
      </w:pPr>
      <w:bookmarkStart w:id="24" w:name="_Toc17233333"/>
      <w:bookmarkStart w:id="25" w:name="_Toc26986771"/>
      <w:bookmarkStart w:id="26" w:name="_Toc26986530"/>
      <w:bookmarkStart w:id="27" w:name="_Toc24884211"/>
      <w:bookmarkStart w:id="28" w:name="_Toc17233325"/>
      <w:bookmarkStart w:id="29" w:name="_Toc26718930"/>
      <w:bookmarkStart w:id="30" w:name="_Toc26648465"/>
      <w:bookmarkStart w:id="31" w:name="_Toc97191423"/>
      <w:bookmarkStart w:id="32" w:name="_Toc24884218"/>
      <w:r>
        <w:rPr>
          <w:rFonts w:hint="eastAsia"/>
        </w:rPr>
        <w:t>范围</w:t>
      </w:r>
      <w:bookmarkEnd w:id="24"/>
      <w:bookmarkEnd w:id="25"/>
      <w:bookmarkEnd w:id="26"/>
      <w:bookmarkEnd w:id="27"/>
      <w:bookmarkEnd w:id="28"/>
      <w:bookmarkEnd w:id="29"/>
      <w:bookmarkEnd w:id="30"/>
      <w:bookmarkEnd w:id="31"/>
      <w:bookmarkEnd w:id="32"/>
    </w:p>
    <w:p w14:paraId="45361B32">
      <w:pPr>
        <w:pStyle w:val="56"/>
        <w:ind w:firstLine="420"/>
        <w:rPr>
          <w:rFonts w:hint="eastAsia"/>
        </w:rPr>
      </w:pPr>
      <w:bookmarkStart w:id="33" w:name="_Toc24884212"/>
      <w:bookmarkStart w:id="34" w:name="_Toc24884219"/>
      <w:bookmarkStart w:id="35" w:name="_Toc17233334"/>
      <w:bookmarkStart w:id="36" w:name="_Toc17233326"/>
      <w:bookmarkStart w:id="37" w:name="_Toc26648466"/>
      <w:r>
        <w:rPr>
          <w:rFonts w:hint="eastAsia"/>
        </w:rPr>
        <w:t>本文件规定了花生叶斑病测报调查有关的术语定义、发生程度分级标准、系统调查、大田普查、数据报送、预测预报等技术内容。</w:t>
      </w:r>
    </w:p>
    <w:p w14:paraId="2A2EF6A6">
      <w:pPr>
        <w:pStyle w:val="56"/>
        <w:ind w:firstLine="420"/>
      </w:pPr>
      <w:r>
        <w:rPr>
          <w:rFonts w:hint="eastAsia"/>
        </w:rPr>
        <w:t>本文件适合于适用于花生叶斑病监测调查活动。</w:t>
      </w:r>
    </w:p>
    <w:bookmarkEnd w:id="33"/>
    <w:bookmarkEnd w:id="34"/>
    <w:bookmarkEnd w:id="35"/>
    <w:bookmarkEnd w:id="36"/>
    <w:bookmarkEnd w:id="37"/>
    <w:p w14:paraId="1411652C">
      <w:pPr>
        <w:pStyle w:val="104"/>
        <w:spacing w:before="312" w:after="312"/>
      </w:pPr>
      <w:bookmarkStart w:id="38" w:name="_Toc97191425"/>
      <w:r>
        <w:rPr>
          <w:rFonts w:hint="eastAsia"/>
          <w:szCs w:val="21"/>
        </w:rPr>
        <w:t>术语和定义</w:t>
      </w:r>
      <w:bookmarkEnd w:id="38"/>
    </w:p>
    <w:sdt>
      <w:sdtPr>
        <w:id w:val="-1909835108"/>
        <w:placeholder>
          <w:docPart w:val="9F3AAEF5E8714FFBBE3040802C3784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A631389">
          <w:pPr>
            <w:pStyle w:val="56"/>
            <w:ind w:firstLine="420"/>
          </w:pPr>
          <w:bookmarkStart w:id="39" w:name="_Toc26986532"/>
          <w:bookmarkEnd w:id="39"/>
          <w:r>
            <w:t>下列术语和定义适用于本文件。</w:t>
          </w:r>
        </w:p>
      </w:sdtContent>
    </w:sdt>
    <w:p w14:paraId="7420779B">
      <w:pPr>
        <w:pStyle w:val="105"/>
        <w:spacing w:before="156" w:after="156"/>
      </w:pPr>
    </w:p>
    <w:p w14:paraId="45F164B5">
      <w:pPr>
        <w:pStyle w:val="105"/>
        <w:numPr>
          <w:ilvl w:val="0"/>
          <w:numId w:val="0"/>
        </w:numPr>
        <w:spacing w:before="156" w:after="156"/>
        <w:ind w:firstLine="420" w:firstLineChars="200"/>
      </w:pPr>
      <w:r>
        <w:rPr>
          <w:rFonts w:hint="eastAsia"/>
        </w:rPr>
        <w:t>发病率</w:t>
      </w:r>
    </w:p>
    <w:p w14:paraId="58B149FF">
      <w:pPr>
        <w:pStyle w:val="56"/>
        <w:ind w:firstLine="420"/>
      </w:pPr>
      <w:r>
        <w:rPr>
          <w:rFonts w:hint="eastAsia"/>
        </w:rPr>
        <w:t>调查田块样本发病情况（发病植株、发病叶片）占调查田块调查样本总数的百分率。</w:t>
      </w:r>
    </w:p>
    <w:p w14:paraId="74DF700D">
      <w:pPr>
        <w:pStyle w:val="105"/>
        <w:spacing w:before="156" w:after="156"/>
      </w:pPr>
    </w:p>
    <w:p w14:paraId="2470981A">
      <w:pPr>
        <w:pStyle w:val="105"/>
        <w:numPr>
          <w:ilvl w:val="0"/>
          <w:numId w:val="0"/>
        </w:numPr>
        <w:spacing w:before="156" w:after="156"/>
        <w:ind w:firstLine="420" w:firstLineChars="200"/>
      </w:pPr>
      <w:r>
        <w:rPr>
          <w:rFonts w:hint="eastAsia"/>
        </w:rPr>
        <w:t>中心病株</w:t>
      </w:r>
    </w:p>
    <w:p w14:paraId="5063D619">
      <w:pPr>
        <w:pStyle w:val="56"/>
        <w:ind w:firstLine="420"/>
      </w:pPr>
      <w:r>
        <w:rPr>
          <w:rFonts w:hint="eastAsia"/>
        </w:rPr>
        <w:t>田间开始发病时，出现的零星发病植株称为中心病株。</w:t>
      </w:r>
    </w:p>
    <w:p w14:paraId="72F9FE3E">
      <w:pPr>
        <w:pStyle w:val="105"/>
        <w:spacing w:before="156" w:after="156"/>
      </w:pPr>
    </w:p>
    <w:p w14:paraId="1F430690">
      <w:pPr>
        <w:pStyle w:val="105"/>
        <w:numPr>
          <w:ilvl w:val="0"/>
          <w:numId w:val="0"/>
        </w:numPr>
        <w:spacing w:before="156" w:after="156"/>
        <w:ind w:firstLine="420" w:firstLineChars="200"/>
        <w:rPr>
          <w:rFonts w:hint="eastAsia"/>
        </w:rPr>
      </w:pPr>
      <w:r>
        <w:rPr>
          <w:rFonts w:hint="eastAsia"/>
        </w:rPr>
        <w:t>始见期</w:t>
      </w:r>
    </w:p>
    <w:p w14:paraId="0E87D678">
      <w:pPr>
        <w:pStyle w:val="56"/>
        <w:ind w:firstLine="420"/>
      </w:pPr>
      <w:r>
        <w:rPr>
          <w:rFonts w:hint="eastAsia"/>
        </w:rPr>
        <w:t>首见中心病株的日期称为病害的始见期。</w:t>
      </w:r>
    </w:p>
    <w:p w14:paraId="36255BC6">
      <w:pPr>
        <w:pStyle w:val="105"/>
        <w:spacing w:before="156" w:after="156"/>
      </w:pPr>
    </w:p>
    <w:p w14:paraId="245B03C3">
      <w:pPr>
        <w:pStyle w:val="105"/>
        <w:numPr>
          <w:ilvl w:val="0"/>
          <w:numId w:val="0"/>
        </w:numPr>
        <w:spacing w:before="156" w:after="156"/>
        <w:ind w:firstLine="420" w:firstLineChars="200"/>
        <w:rPr>
          <w:rFonts w:hint="eastAsia"/>
        </w:rPr>
      </w:pPr>
      <w:r>
        <w:rPr>
          <w:rFonts w:hint="eastAsia"/>
        </w:rPr>
        <w:t>严重度</w:t>
      </w:r>
    </w:p>
    <w:p w14:paraId="71F9108B">
      <w:pPr>
        <w:pStyle w:val="56"/>
        <w:ind w:firstLine="420"/>
        <w:rPr>
          <w:rFonts w:hint="eastAsia"/>
        </w:rPr>
      </w:pPr>
      <w:r>
        <w:rPr>
          <w:rFonts w:hint="eastAsia"/>
        </w:rPr>
        <w:t>依据每株发病叶片占全株总叶数的比例或植株茎秆病斑大小确定的级别成为严重度。一般分为0、1、3、5、7、9等共6级。</w:t>
      </w:r>
    </w:p>
    <w:p w14:paraId="7AFC92F0">
      <w:pPr>
        <w:pStyle w:val="56"/>
        <w:ind w:firstLine="420"/>
        <w:rPr>
          <w:rFonts w:hint="eastAsia"/>
        </w:rPr>
      </w:pPr>
      <w:r>
        <w:rPr>
          <w:rFonts w:hint="eastAsia"/>
        </w:rPr>
        <w:t>0级 无症状，叶面积损失率为0。</w:t>
      </w:r>
    </w:p>
    <w:p w14:paraId="469DF780">
      <w:pPr>
        <w:pStyle w:val="56"/>
        <w:ind w:firstLine="420"/>
        <w:rPr>
          <w:rFonts w:hint="eastAsia"/>
        </w:rPr>
      </w:pPr>
      <w:r>
        <w:rPr>
          <w:rFonts w:hint="eastAsia"/>
        </w:rPr>
        <w:t>1级 下部叶片有较大病斑；没有明显落叶，叶面积损失率为1-10%。</w:t>
      </w:r>
    </w:p>
    <w:p w14:paraId="352CBC26">
      <w:pPr>
        <w:pStyle w:val="56"/>
        <w:ind w:firstLine="420"/>
        <w:rPr>
          <w:rFonts w:hint="eastAsia"/>
        </w:rPr>
      </w:pPr>
      <w:r>
        <w:rPr>
          <w:rFonts w:hint="eastAsia"/>
        </w:rPr>
        <w:t>3级 下部叶片有许多病斑，落叶明显；中部叶片有少量病斑，叶面积损失率为11-20%。</w:t>
      </w:r>
    </w:p>
    <w:p w14:paraId="103ABEB2">
      <w:pPr>
        <w:pStyle w:val="56"/>
        <w:ind w:firstLine="420"/>
        <w:rPr>
          <w:rFonts w:hint="eastAsia"/>
        </w:rPr>
      </w:pPr>
      <w:r>
        <w:rPr>
          <w:rFonts w:hint="eastAsia"/>
        </w:rPr>
        <w:t>5级 中下部叶片都有病斑；落叶较多，下部叶片较重，叶面积损失率为21-30%。</w:t>
      </w:r>
    </w:p>
    <w:p w14:paraId="38B271AE">
      <w:pPr>
        <w:pStyle w:val="56"/>
        <w:ind w:firstLine="420"/>
        <w:rPr>
          <w:rFonts w:hint="eastAsia"/>
        </w:rPr>
      </w:pPr>
      <w:r>
        <w:rPr>
          <w:rFonts w:hint="eastAsia"/>
        </w:rPr>
        <w:t>7级 中下部叶片全部发病；下部叶片基本落光，叶面积损失率达31-40%。</w:t>
      </w:r>
    </w:p>
    <w:p w14:paraId="0C3B75D7">
      <w:pPr>
        <w:pStyle w:val="56"/>
        <w:ind w:firstLine="420"/>
      </w:pPr>
      <w:r>
        <w:rPr>
          <w:rFonts w:hint="eastAsia"/>
        </w:rPr>
        <w:t>9级 中下部叶片发病重；中下部叶片大量落叶，上部叶出现连片大病斑，叶面积损失率达到40%以上。</w:t>
      </w:r>
    </w:p>
    <w:p w14:paraId="547F4069">
      <w:pPr>
        <w:pStyle w:val="105"/>
        <w:spacing w:before="156" w:after="156"/>
      </w:pPr>
    </w:p>
    <w:p w14:paraId="3FF1FCD5">
      <w:pPr>
        <w:pStyle w:val="105"/>
        <w:numPr>
          <w:ilvl w:val="0"/>
          <w:numId w:val="0"/>
        </w:numPr>
        <w:spacing w:before="156" w:after="156"/>
        <w:ind w:firstLine="420" w:firstLineChars="200"/>
      </w:pPr>
      <w:r>
        <w:rPr>
          <w:rFonts w:hint="eastAsia"/>
        </w:rPr>
        <w:t>病情指数</w:t>
      </w:r>
    </w:p>
    <w:p w14:paraId="0A790DE9">
      <w:pPr>
        <w:pStyle w:val="56"/>
        <w:ind w:firstLine="420"/>
        <w:rPr>
          <w:rFonts w:hint="eastAsia"/>
        </w:rPr>
      </w:pPr>
      <w:r>
        <w:rPr>
          <w:rFonts w:hint="eastAsia"/>
        </w:rPr>
        <w:t>指在群体水平上病害的发生程度，是全面考虑群体病害发病率与严重度的综合指标。</w:t>
      </w:r>
    </w:p>
    <w:p w14:paraId="61175CD0">
      <w:pPr>
        <w:pStyle w:val="56"/>
        <w:ind w:firstLine="420"/>
        <w:rPr>
          <w:rFonts w:hint="eastAsia"/>
        </w:rPr>
      </w:pPr>
      <w:r>
        <w:rPr>
          <w:rFonts w:hint="eastAsia"/>
        </w:rPr>
        <w:t>用以表示病害发生的平均水平，通过公式（1）计算</w:t>
      </w:r>
    </w:p>
    <w:p w14:paraId="5850881B">
      <w:pPr>
        <w:pStyle w:val="56"/>
        <w:ind w:firstLine="420"/>
        <w:rPr>
          <w:rFonts w:hint="eastAsia"/>
        </w:rPr>
      </w:pPr>
      <w:r>
        <w:drawing>
          <wp:inline distT="0" distB="0" distL="0" distR="0">
            <wp:extent cx="1238250" cy="438150"/>
            <wp:effectExtent l="0" t="0" r="0" b="0"/>
            <wp:docPr id="1" name="图片 120295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02957599"/>
                    <pic:cNvPicPr>
                      <a:picLocks noChangeAspect="1"/>
                    </pic:cNvPicPr>
                  </pic:nvPicPr>
                  <pic:blipFill>
                    <a:blip r:embed="rId16"/>
                    <a:stretch>
                      <a:fillRect/>
                    </a:stretch>
                  </pic:blipFill>
                  <pic:spPr>
                    <a:xfrm>
                      <a:off x="0" y="0"/>
                      <a:ext cx="1238250" cy="438150"/>
                    </a:xfrm>
                    <a:prstGeom prst="rect">
                      <a:avLst/>
                    </a:prstGeom>
                    <a:noFill/>
                    <a:ln>
                      <a:noFill/>
                    </a:ln>
                  </pic:spPr>
                </pic:pic>
              </a:graphicData>
            </a:graphic>
          </wp:inline>
        </w:drawing>
      </w:r>
      <w:r>
        <w:rPr>
          <w:rFonts w:hint="eastAsia"/>
        </w:rPr>
        <w:t>……………………………………………………………………（1）</w:t>
      </w:r>
    </w:p>
    <w:p w14:paraId="248246E8">
      <w:pPr>
        <w:pStyle w:val="56"/>
        <w:ind w:firstLine="420"/>
        <w:rPr>
          <w:rFonts w:hint="eastAsia"/>
        </w:rPr>
      </w:pPr>
      <w:r>
        <w:rPr>
          <w:rFonts w:hint="eastAsia"/>
        </w:rPr>
        <w:t>I——病情指数</w:t>
      </w:r>
    </w:p>
    <w:p w14:paraId="34E6F69E">
      <w:pPr>
        <w:pStyle w:val="56"/>
        <w:ind w:firstLine="420"/>
        <w:rPr>
          <w:rFonts w:hint="eastAsia"/>
        </w:rPr>
      </w:pPr>
      <w:r>
        <w:rPr>
          <w:rFonts w:hint="eastAsia"/>
        </w:rPr>
        <w:t>di——各严重级值</w:t>
      </w:r>
    </w:p>
    <w:p w14:paraId="1B8FD80D">
      <w:pPr>
        <w:pStyle w:val="56"/>
        <w:ind w:firstLine="420"/>
        <w:rPr>
          <w:rFonts w:hint="eastAsia"/>
        </w:rPr>
      </w:pPr>
      <w:r>
        <w:rPr>
          <w:rFonts w:hint="eastAsia"/>
        </w:rPr>
        <w:t>li——各级严重度病株数</w:t>
      </w:r>
    </w:p>
    <w:p w14:paraId="78603D97">
      <w:pPr>
        <w:pStyle w:val="56"/>
        <w:ind w:firstLine="420"/>
        <w:rPr>
          <w:rFonts w:hint="eastAsia"/>
        </w:rPr>
      </w:pPr>
      <w:r>
        <w:rPr>
          <w:rFonts w:hint="eastAsia"/>
        </w:rPr>
        <w:t>P——调查总株数</w:t>
      </w:r>
    </w:p>
    <w:p w14:paraId="20B53337">
      <w:pPr>
        <w:pStyle w:val="56"/>
        <w:ind w:firstLine="420"/>
      </w:pPr>
      <w:r>
        <w:rPr>
          <w:rFonts w:hint="eastAsia"/>
        </w:rPr>
        <w:t>D ——严重度最高级别的数值，即9。</w:t>
      </w:r>
    </w:p>
    <w:p w14:paraId="4F3EE5DD">
      <w:pPr>
        <w:pStyle w:val="105"/>
        <w:spacing w:before="156" w:after="156"/>
      </w:pPr>
    </w:p>
    <w:p w14:paraId="46325550">
      <w:pPr>
        <w:pStyle w:val="105"/>
        <w:numPr>
          <w:ilvl w:val="0"/>
          <w:numId w:val="0"/>
        </w:numPr>
        <w:spacing w:before="156" w:after="156"/>
        <w:ind w:firstLine="420" w:firstLineChars="200"/>
      </w:pPr>
      <w:r>
        <w:rPr>
          <w:rFonts w:hint="eastAsia"/>
        </w:rPr>
        <w:t>系统调查</w:t>
      </w:r>
    </w:p>
    <w:p w14:paraId="52B2A869">
      <w:pPr>
        <w:pStyle w:val="56"/>
        <w:ind w:firstLine="420"/>
      </w:pPr>
      <w:r>
        <w:rPr>
          <w:rFonts w:hint="eastAsia"/>
        </w:rPr>
        <w:t>为了了解某行政区内花生叶斑病发生消长动态，对其开展定点、定期、定内容的调查。</w:t>
      </w:r>
    </w:p>
    <w:p w14:paraId="66FBA881">
      <w:pPr>
        <w:pStyle w:val="105"/>
        <w:spacing w:before="156" w:after="156"/>
      </w:pPr>
    </w:p>
    <w:p w14:paraId="023AC5B5">
      <w:pPr>
        <w:pStyle w:val="105"/>
        <w:numPr>
          <w:ilvl w:val="0"/>
          <w:numId w:val="0"/>
        </w:numPr>
        <w:spacing w:before="156" w:after="156"/>
        <w:ind w:firstLine="420" w:firstLineChars="200"/>
      </w:pPr>
      <w:r>
        <w:rPr>
          <w:rFonts w:hint="eastAsia"/>
        </w:rPr>
        <w:t>大田普查</w:t>
      </w:r>
    </w:p>
    <w:p w14:paraId="4AC4DC1D">
      <w:pPr>
        <w:pStyle w:val="56"/>
        <w:ind w:firstLine="420"/>
      </w:pPr>
      <w:r>
        <w:rPr>
          <w:rFonts w:hint="eastAsia"/>
        </w:rPr>
        <w:t>为了调查某行政区内某时期花生叶斑病发生动态和危害情况，而进行的广泛调查。</w:t>
      </w:r>
    </w:p>
    <w:p w14:paraId="60744C0C">
      <w:pPr>
        <w:pStyle w:val="104"/>
        <w:spacing w:before="312" w:after="312"/>
        <w:rPr>
          <w:rFonts w:hint="eastAsia"/>
        </w:rPr>
      </w:pPr>
      <w:r>
        <w:rPr>
          <w:rFonts w:hint="eastAsia"/>
        </w:rPr>
        <w:t>发生的程度</w:t>
      </w:r>
    </w:p>
    <w:p w14:paraId="10ACA95A">
      <w:pPr>
        <w:pStyle w:val="56"/>
        <w:ind w:firstLine="420"/>
      </w:pPr>
      <w:r>
        <w:rPr>
          <w:rFonts w:hint="eastAsia"/>
        </w:rPr>
        <w:t>花生叶斑病发生程度分为五级，即轻发生（1级）、偏轻发生（2级）、中等发生（3级）、偏重发生（4级）、大发生（5级）。花生叶斑病的发生程度。</w:t>
      </w:r>
    </w:p>
    <w:p w14:paraId="0FB3F806">
      <w:pPr>
        <w:pStyle w:val="56"/>
        <w:ind w:firstLine="422"/>
        <w:jc w:val="center"/>
        <w:rPr>
          <w:b/>
          <w:bCs/>
        </w:rPr>
      </w:pPr>
      <w:r>
        <w:rPr>
          <w:rFonts w:hint="eastAsia"/>
          <w:b/>
          <w:bCs/>
        </w:rPr>
        <w:t>表1  花生叶斑病发生程度分级表</w:t>
      </w:r>
    </w:p>
    <w:tbl>
      <w:tblPr>
        <w:tblStyle w:val="2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27"/>
        <w:gridCol w:w="1427"/>
        <w:gridCol w:w="1427"/>
        <w:gridCol w:w="1427"/>
        <w:gridCol w:w="1407"/>
      </w:tblGrid>
      <w:tr w14:paraId="4CB0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14:paraId="1487A3D3">
            <w:pPr>
              <w:rPr>
                <w:rFonts w:hint="eastAsia" w:ascii="宋体" w:hAnsi="宋体" w:eastAsiaTheme="minorEastAsia"/>
              </w:rPr>
            </w:pPr>
          </w:p>
        </w:tc>
        <w:tc>
          <w:tcPr>
            <w:tcW w:w="1427" w:type="dxa"/>
            <w:tcBorders>
              <w:top w:val="single" w:color="auto" w:sz="4" w:space="0"/>
              <w:left w:val="nil"/>
              <w:bottom w:val="single" w:color="auto" w:sz="4" w:space="0"/>
              <w:right w:val="single" w:color="auto" w:sz="4" w:space="0"/>
            </w:tcBorders>
          </w:tcPr>
          <w:p w14:paraId="32A4A501">
            <w:pPr>
              <w:rPr>
                <w:rFonts w:hint="eastAsia" w:ascii="宋体" w:hAnsi="宋体" w:eastAsia="Times New Roman"/>
              </w:rPr>
            </w:pPr>
            <w:r>
              <w:rPr>
                <w:rFonts w:hint="eastAsia" w:ascii="宋体" w:hAnsi="宋体" w:eastAsia="Times New Roman"/>
              </w:rPr>
              <w:t>1级</w:t>
            </w:r>
          </w:p>
        </w:tc>
        <w:tc>
          <w:tcPr>
            <w:tcW w:w="1427" w:type="dxa"/>
            <w:tcBorders>
              <w:top w:val="single" w:color="auto" w:sz="4" w:space="0"/>
              <w:left w:val="nil"/>
              <w:bottom w:val="single" w:color="auto" w:sz="4" w:space="0"/>
              <w:right w:val="single" w:color="auto" w:sz="4" w:space="0"/>
            </w:tcBorders>
          </w:tcPr>
          <w:p w14:paraId="715AD88C">
            <w:pPr>
              <w:rPr>
                <w:rFonts w:hint="eastAsia" w:ascii="宋体" w:hAnsi="宋体" w:eastAsia="Times New Roman"/>
              </w:rPr>
            </w:pPr>
            <w:r>
              <w:rPr>
                <w:rFonts w:hint="eastAsia" w:ascii="宋体" w:hAnsi="宋体" w:eastAsia="Times New Roman"/>
              </w:rPr>
              <w:t>2级</w:t>
            </w:r>
          </w:p>
        </w:tc>
        <w:tc>
          <w:tcPr>
            <w:tcW w:w="1427" w:type="dxa"/>
            <w:tcBorders>
              <w:top w:val="single" w:color="auto" w:sz="4" w:space="0"/>
              <w:left w:val="nil"/>
              <w:bottom w:val="single" w:color="auto" w:sz="4" w:space="0"/>
              <w:right w:val="single" w:color="auto" w:sz="4" w:space="0"/>
            </w:tcBorders>
          </w:tcPr>
          <w:p w14:paraId="4532741C">
            <w:pPr>
              <w:rPr>
                <w:rFonts w:hint="eastAsia" w:ascii="宋体" w:hAnsi="宋体" w:eastAsia="Times New Roman"/>
              </w:rPr>
            </w:pPr>
            <w:r>
              <w:rPr>
                <w:rFonts w:hint="eastAsia" w:ascii="宋体" w:hAnsi="宋体" w:eastAsia="Times New Roman"/>
              </w:rPr>
              <w:t>3级</w:t>
            </w:r>
          </w:p>
        </w:tc>
        <w:tc>
          <w:tcPr>
            <w:tcW w:w="1427" w:type="dxa"/>
            <w:tcBorders>
              <w:top w:val="single" w:color="auto" w:sz="4" w:space="0"/>
              <w:left w:val="nil"/>
              <w:bottom w:val="single" w:color="auto" w:sz="4" w:space="0"/>
              <w:right w:val="single" w:color="auto" w:sz="4" w:space="0"/>
            </w:tcBorders>
          </w:tcPr>
          <w:p w14:paraId="3B9D3CC0">
            <w:pPr>
              <w:rPr>
                <w:rFonts w:hint="eastAsia" w:ascii="宋体" w:hAnsi="宋体" w:eastAsia="Times New Roman"/>
              </w:rPr>
            </w:pPr>
            <w:r>
              <w:rPr>
                <w:rFonts w:hint="eastAsia" w:ascii="宋体" w:hAnsi="宋体" w:eastAsia="Times New Roman"/>
              </w:rPr>
              <w:t>4级</w:t>
            </w:r>
          </w:p>
        </w:tc>
        <w:tc>
          <w:tcPr>
            <w:tcW w:w="1407" w:type="dxa"/>
            <w:tcBorders>
              <w:top w:val="single" w:color="auto" w:sz="4" w:space="0"/>
              <w:left w:val="nil"/>
              <w:bottom w:val="single" w:color="auto" w:sz="4" w:space="0"/>
              <w:right w:val="single" w:color="auto" w:sz="4" w:space="0"/>
            </w:tcBorders>
          </w:tcPr>
          <w:p w14:paraId="1A305EC7">
            <w:pPr>
              <w:rPr>
                <w:rFonts w:hint="eastAsia" w:ascii="宋体" w:hAnsi="宋体" w:eastAsia="Times New Roman"/>
              </w:rPr>
            </w:pPr>
            <w:r>
              <w:rPr>
                <w:rFonts w:hint="eastAsia" w:ascii="宋体" w:hAnsi="宋体" w:eastAsia="Times New Roman"/>
              </w:rPr>
              <w:t>5级</w:t>
            </w:r>
          </w:p>
        </w:tc>
      </w:tr>
      <w:tr w14:paraId="19FD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tcPr>
          <w:p w14:paraId="34E7C621">
            <w:pPr>
              <w:rPr>
                <w:rFonts w:hint="eastAsia" w:ascii="宋体" w:hAnsi="宋体" w:eastAsia="Times New Roman"/>
              </w:rPr>
            </w:pPr>
            <w:r>
              <w:rPr>
                <w:rFonts w:hint="eastAsia" w:ascii="宋体" w:hAnsi="宋体" w:eastAsia="Times New Roman"/>
              </w:rPr>
              <w:t>病叶率（X）</w:t>
            </w:r>
          </w:p>
        </w:tc>
        <w:tc>
          <w:tcPr>
            <w:tcW w:w="1427" w:type="dxa"/>
            <w:tcBorders>
              <w:top w:val="single" w:color="auto" w:sz="4" w:space="0"/>
              <w:left w:val="nil"/>
              <w:bottom w:val="single" w:color="auto" w:sz="4" w:space="0"/>
              <w:right w:val="single" w:color="auto" w:sz="4" w:space="0"/>
            </w:tcBorders>
          </w:tcPr>
          <w:p w14:paraId="3AA8BAE0">
            <w:pPr>
              <w:rPr>
                <w:rFonts w:hint="eastAsia" w:ascii="宋体" w:hAnsi="宋体" w:eastAsia="Times New Roman"/>
              </w:rPr>
            </w:pPr>
            <w:r>
              <w:rPr>
                <w:rFonts w:ascii="Arial" w:hAnsi="Arial" w:eastAsia="Times New Roman" w:cs="Arial"/>
                <w:color w:val="333333"/>
              </w:rPr>
              <w:t>0</w:t>
            </w:r>
            <w:r>
              <w:rPr>
                <w:rFonts w:hint="eastAsia" w:ascii="宋体" w:hAnsi="宋体" w:eastAsia="Times New Roman"/>
              </w:rPr>
              <w:t>＜</w:t>
            </w:r>
            <w:r>
              <w:rPr>
                <w:rFonts w:ascii="Times New Roman" w:hAnsi="Times New Roman" w:eastAsia="Times New Roman"/>
              </w:rPr>
              <w:t>X</w:t>
            </w:r>
            <w:r>
              <w:rPr>
                <w:rFonts w:hint="eastAsia" w:ascii="宋体" w:hAnsi="宋体" w:eastAsia="Times New Roman"/>
              </w:rPr>
              <w:t>≤</w:t>
            </w:r>
            <w:r>
              <w:rPr>
                <w:rFonts w:ascii="Arial" w:hAnsi="Arial" w:eastAsia="Times New Roman" w:cs="Arial"/>
                <w:color w:val="333333"/>
              </w:rPr>
              <w:t>20%</w:t>
            </w:r>
          </w:p>
        </w:tc>
        <w:tc>
          <w:tcPr>
            <w:tcW w:w="1427" w:type="dxa"/>
            <w:tcBorders>
              <w:top w:val="single" w:color="auto" w:sz="4" w:space="0"/>
              <w:left w:val="nil"/>
              <w:bottom w:val="single" w:color="auto" w:sz="4" w:space="0"/>
              <w:right w:val="single" w:color="auto" w:sz="4" w:space="0"/>
            </w:tcBorders>
          </w:tcPr>
          <w:p w14:paraId="761609E0">
            <w:pPr>
              <w:rPr>
                <w:rFonts w:hint="eastAsia" w:ascii="宋体" w:hAnsi="宋体" w:eastAsia="Times New Roman"/>
              </w:rPr>
            </w:pPr>
            <w:r>
              <w:rPr>
                <w:rFonts w:hint="eastAsia" w:ascii="宋体" w:hAnsi="宋体" w:eastAsia="Times New Roman"/>
              </w:rPr>
              <w:t>20.1＜</w:t>
            </w:r>
            <w:r>
              <w:rPr>
                <w:rFonts w:ascii="Times New Roman" w:hAnsi="Times New Roman" w:eastAsia="Times New Roman"/>
              </w:rPr>
              <w:t>X</w:t>
            </w:r>
            <w:r>
              <w:rPr>
                <w:rFonts w:hint="eastAsia" w:ascii="宋体" w:hAnsi="宋体" w:eastAsia="Times New Roman"/>
              </w:rPr>
              <w:t>≤40%</w:t>
            </w:r>
          </w:p>
        </w:tc>
        <w:tc>
          <w:tcPr>
            <w:tcW w:w="1427" w:type="dxa"/>
            <w:tcBorders>
              <w:top w:val="single" w:color="auto" w:sz="4" w:space="0"/>
              <w:left w:val="nil"/>
              <w:bottom w:val="single" w:color="auto" w:sz="4" w:space="0"/>
              <w:right w:val="single" w:color="auto" w:sz="4" w:space="0"/>
            </w:tcBorders>
          </w:tcPr>
          <w:p w14:paraId="4685C2CC">
            <w:pPr>
              <w:rPr>
                <w:rFonts w:hint="eastAsia" w:ascii="宋体" w:hAnsi="宋体" w:eastAsia="Times New Roman"/>
              </w:rPr>
            </w:pPr>
            <w:r>
              <w:rPr>
                <w:rFonts w:hint="eastAsia" w:ascii="宋体" w:hAnsi="宋体" w:eastAsia="Times New Roman"/>
              </w:rPr>
              <w:t>40.1＜</w:t>
            </w:r>
            <w:r>
              <w:rPr>
                <w:rFonts w:ascii="Times New Roman" w:hAnsi="Times New Roman" w:eastAsia="Times New Roman"/>
              </w:rPr>
              <w:t>X</w:t>
            </w:r>
            <w:r>
              <w:rPr>
                <w:rFonts w:hint="eastAsia" w:ascii="宋体" w:hAnsi="宋体" w:eastAsia="Times New Roman"/>
              </w:rPr>
              <w:t>≤60%</w:t>
            </w:r>
          </w:p>
        </w:tc>
        <w:tc>
          <w:tcPr>
            <w:tcW w:w="1427" w:type="dxa"/>
            <w:tcBorders>
              <w:top w:val="single" w:color="auto" w:sz="4" w:space="0"/>
              <w:left w:val="nil"/>
              <w:bottom w:val="single" w:color="auto" w:sz="4" w:space="0"/>
              <w:right w:val="single" w:color="auto" w:sz="4" w:space="0"/>
            </w:tcBorders>
          </w:tcPr>
          <w:p w14:paraId="148EDFA8">
            <w:pPr>
              <w:rPr>
                <w:rFonts w:hint="eastAsia" w:ascii="宋体" w:hAnsi="宋体" w:eastAsia="Times New Roman"/>
              </w:rPr>
            </w:pPr>
            <w:r>
              <w:rPr>
                <w:rFonts w:hint="eastAsia" w:ascii="宋体" w:hAnsi="宋体" w:eastAsia="Times New Roman"/>
              </w:rPr>
              <w:t>60.1＜</w:t>
            </w:r>
            <w:r>
              <w:rPr>
                <w:rFonts w:ascii="Times New Roman" w:hAnsi="Times New Roman" w:eastAsia="Times New Roman"/>
              </w:rPr>
              <w:t>X</w:t>
            </w:r>
            <w:r>
              <w:rPr>
                <w:rFonts w:hint="eastAsia" w:ascii="宋体" w:hAnsi="宋体" w:eastAsia="Times New Roman"/>
              </w:rPr>
              <w:t>≤80%</w:t>
            </w:r>
          </w:p>
        </w:tc>
        <w:tc>
          <w:tcPr>
            <w:tcW w:w="1407" w:type="dxa"/>
            <w:tcBorders>
              <w:top w:val="single" w:color="auto" w:sz="4" w:space="0"/>
              <w:left w:val="nil"/>
              <w:bottom w:val="single" w:color="auto" w:sz="4" w:space="0"/>
              <w:right w:val="single" w:color="auto" w:sz="4" w:space="0"/>
            </w:tcBorders>
          </w:tcPr>
          <w:p w14:paraId="4826F7D0">
            <w:pPr>
              <w:rPr>
                <w:rFonts w:hint="eastAsia" w:ascii="宋体" w:hAnsi="宋体" w:eastAsia="Times New Roman"/>
              </w:rPr>
            </w:pPr>
            <w:r>
              <w:rPr>
                <w:rFonts w:ascii="Times New Roman" w:hAnsi="Times New Roman" w:eastAsia="Times New Roman"/>
              </w:rPr>
              <w:t>&gt;</w:t>
            </w:r>
            <w:r>
              <w:rPr>
                <w:rFonts w:hint="eastAsia" w:ascii="宋体" w:hAnsi="宋体" w:eastAsia="Times New Roman"/>
              </w:rPr>
              <w:t>80%</w:t>
            </w:r>
          </w:p>
        </w:tc>
      </w:tr>
    </w:tbl>
    <w:p w14:paraId="4405D069">
      <w:pPr>
        <w:pStyle w:val="104"/>
        <w:spacing w:before="312" w:after="312"/>
      </w:pPr>
      <w:r>
        <w:rPr>
          <w:rFonts w:hint="eastAsia"/>
        </w:rPr>
        <w:t>系统调查</w:t>
      </w:r>
    </w:p>
    <w:p w14:paraId="140A3B8E">
      <w:pPr>
        <w:pStyle w:val="56"/>
        <w:ind w:firstLine="420"/>
      </w:pPr>
      <w:r>
        <w:rPr>
          <w:rFonts w:hint="eastAsia"/>
        </w:rPr>
        <w:t>花生开花前1周至饱果期。选择历年长发病地块或易感品种地块，一般一个县选择代表性地块3块作为调查地块，每块面积不小于10亩。采用棋盘式10点取样法，每块固定10个样点，每个样点定面积1平方米，每10天调查1次，出现中心病株后，每5天调查1次。调查总株数、发病株数，各株发病级别，计算病株率、病情指数，将结果填入附录A表.1。</w:t>
      </w:r>
    </w:p>
    <w:p w14:paraId="595A6CFF">
      <w:pPr>
        <w:pStyle w:val="104"/>
        <w:spacing w:before="312" w:after="312"/>
      </w:pPr>
      <w:r>
        <w:rPr>
          <w:rFonts w:hint="eastAsia"/>
        </w:rPr>
        <w:t>大田普查</w:t>
      </w:r>
    </w:p>
    <w:p w14:paraId="4BB81BDD">
      <w:pPr>
        <w:pStyle w:val="56"/>
        <w:ind w:firstLine="420"/>
      </w:pPr>
      <w:r>
        <w:rPr>
          <w:rFonts w:hint="eastAsia"/>
        </w:rPr>
        <w:t>在结荚期和饱果期各进行一次。调查常年发病情况，选择不同类型有代表性地块，各类型田调查地块比例按照当地类型田面积比例确定，原则上每10万亩不少于1块田。采用棋盘式10点取样法进行调查，若田间叶斑病零星发生，每个样点调查面积2平方米，若全田普遍发生，每个样点调查1平方米即可。调查总株数、发病株数，各株发病级别，计算病株率、病情指数，将结果填入附录A表A.2。</w:t>
      </w:r>
    </w:p>
    <w:p w14:paraId="5AB58563">
      <w:pPr>
        <w:pStyle w:val="104"/>
        <w:spacing w:before="312" w:after="312"/>
      </w:pPr>
      <w:r>
        <w:t>调查数据记载、汇总、上报与保存</w:t>
      </w:r>
    </w:p>
    <w:p w14:paraId="67B74578">
      <w:pPr>
        <w:pStyle w:val="56"/>
        <w:ind w:firstLine="420"/>
      </w:pPr>
      <w:r>
        <w:rPr>
          <w:rFonts w:hint="eastAsia"/>
        </w:rPr>
        <w:t>每次调查结束后，按照统一格式、时间和内容记载汇总，通过互联网传输等方式上报上级，年末将测报资料进行整理保存。。</w:t>
      </w:r>
    </w:p>
    <w:p w14:paraId="454336D6">
      <w:pPr>
        <w:pStyle w:val="104"/>
        <w:spacing w:before="312" w:after="312"/>
      </w:pPr>
      <w:r>
        <w:rPr>
          <w:rFonts w:hint="eastAsia"/>
        </w:rPr>
        <w:t>预测预报</w:t>
      </w:r>
    </w:p>
    <w:p w14:paraId="694DDA72">
      <w:pPr>
        <w:pStyle w:val="56"/>
        <w:ind w:firstLine="420"/>
      </w:pPr>
      <w:r>
        <w:rPr>
          <w:rFonts w:hint="eastAsia"/>
        </w:rPr>
        <w:t>预测时主要根据雨季早晚、降水量，结合菌源情况和品种、生育期等因子预报发生期、发生程度，确定防治措施。</w:t>
      </w:r>
    </w:p>
    <w:p w14:paraId="6D37CCD5">
      <w:pPr>
        <w:pStyle w:val="56"/>
        <w:ind w:firstLine="420"/>
        <w:rPr>
          <w:rFonts w:hint="eastAsia"/>
        </w:rPr>
      </w:pPr>
    </w:p>
    <w:p w14:paraId="5EB0F4B3">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60E2F0C1">
      <w:pPr>
        <w:pStyle w:val="198"/>
        <w:rPr>
          <w:rFonts w:hint="eastAsia"/>
          <w:vanish w:val="0"/>
        </w:rPr>
      </w:pPr>
      <w:bookmarkStart w:id="40" w:name="BookMark5"/>
    </w:p>
    <w:p w14:paraId="2D93600A">
      <w:pPr>
        <w:pStyle w:val="199"/>
        <w:rPr>
          <w:rFonts w:hint="eastAsia"/>
          <w:vanish w:val="0"/>
        </w:rPr>
      </w:pPr>
    </w:p>
    <w:p w14:paraId="6C768D75">
      <w:pPr>
        <w:pStyle w:val="76"/>
        <w:spacing w:after="156"/>
        <w:rPr>
          <w:rFonts w:hint="eastAsia"/>
        </w:rPr>
      </w:pPr>
      <w:r>
        <w:br w:type="textWrapping"/>
      </w:r>
      <w:r>
        <w:rPr>
          <w:rFonts w:hint="eastAsia"/>
        </w:rPr>
        <w:t>（规范性）</w:t>
      </w:r>
      <w:r>
        <w:br w:type="textWrapping"/>
      </w:r>
      <w:r>
        <w:rPr>
          <w:rFonts w:hint="eastAsia"/>
        </w:rPr>
        <w:t>花生叶斑病记载表</w:t>
      </w:r>
    </w:p>
    <w:p w14:paraId="46EAA219">
      <w:pPr>
        <w:pStyle w:val="77"/>
        <w:spacing w:before="156" w:after="156"/>
        <w:rPr>
          <w:rFonts w:hint="eastAsia"/>
        </w:rPr>
      </w:pPr>
      <w:r>
        <w:rPr>
          <w:rFonts w:hint="eastAsia"/>
        </w:rPr>
        <w:t>花生叶斑病系统调查表</w:t>
      </w:r>
    </w:p>
    <w:tbl>
      <w:tblPr>
        <w:tblStyle w:val="26"/>
        <w:tblW w:w="10020" w:type="dxa"/>
        <w:tblInd w:w="0" w:type="dxa"/>
        <w:tblLayout w:type="autofit"/>
        <w:tblCellMar>
          <w:top w:w="0" w:type="dxa"/>
          <w:left w:w="108" w:type="dxa"/>
          <w:bottom w:w="0" w:type="dxa"/>
          <w:right w:w="108" w:type="dxa"/>
        </w:tblCellMar>
      </w:tblPr>
      <w:tblGrid>
        <w:gridCol w:w="864"/>
        <w:gridCol w:w="521"/>
        <w:gridCol w:w="522"/>
        <w:gridCol w:w="807"/>
        <w:gridCol w:w="756"/>
        <w:gridCol w:w="1256"/>
        <w:gridCol w:w="904"/>
        <w:gridCol w:w="306"/>
        <w:gridCol w:w="306"/>
        <w:gridCol w:w="306"/>
        <w:gridCol w:w="306"/>
        <w:gridCol w:w="306"/>
        <w:gridCol w:w="306"/>
        <w:gridCol w:w="965"/>
        <w:gridCol w:w="904"/>
        <w:gridCol w:w="685"/>
      </w:tblGrid>
      <w:tr w14:paraId="0C61E0E3">
        <w:tblPrEx>
          <w:tblCellMar>
            <w:top w:w="0" w:type="dxa"/>
            <w:left w:w="108" w:type="dxa"/>
            <w:bottom w:w="0" w:type="dxa"/>
            <w:right w:w="108" w:type="dxa"/>
          </w:tblCellMar>
        </w:tblPrEx>
        <w:trPr>
          <w:trHeight w:val="28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187ED52E">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调查时间</w:t>
            </w:r>
          </w:p>
        </w:tc>
        <w:tc>
          <w:tcPr>
            <w:tcW w:w="525" w:type="dxa"/>
            <w:vMerge w:val="restart"/>
            <w:tcBorders>
              <w:top w:val="single" w:color="000000" w:sz="4" w:space="0"/>
              <w:left w:val="nil"/>
              <w:bottom w:val="single" w:color="000000" w:sz="4" w:space="0"/>
              <w:right w:val="single" w:color="000000" w:sz="4" w:space="0"/>
            </w:tcBorders>
            <w:vAlign w:val="center"/>
          </w:tcPr>
          <w:p w14:paraId="54C50540">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调查地点</w:t>
            </w:r>
          </w:p>
        </w:tc>
        <w:tc>
          <w:tcPr>
            <w:tcW w:w="526" w:type="dxa"/>
            <w:vMerge w:val="restart"/>
            <w:tcBorders>
              <w:top w:val="single" w:color="000000" w:sz="4" w:space="0"/>
              <w:left w:val="nil"/>
              <w:bottom w:val="single" w:color="000000" w:sz="4" w:space="0"/>
              <w:right w:val="single" w:color="000000" w:sz="4" w:space="0"/>
            </w:tcBorders>
            <w:shd w:val="clear" w:color="auto" w:fill="D6DCE4"/>
            <w:vAlign w:val="center"/>
          </w:tcPr>
          <w:p w14:paraId="2567434A">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品种</w:t>
            </w:r>
          </w:p>
        </w:tc>
        <w:tc>
          <w:tcPr>
            <w:tcW w:w="819" w:type="dxa"/>
            <w:vMerge w:val="restart"/>
            <w:tcBorders>
              <w:top w:val="single" w:color="000000" w:sz="4" w:space="0"/>
              <w:left w:val="nil"/>
              <w:bottom w:val="single" w:color="000000" w:sz="4" w:space="0"/>
              <w:right w:val="single" w:color="000000" w:sz="4" w:space="0"/>
            </w:tcBorders>
            <w:vAlign w:val="center"/>
          </w:tcPr>
          <w:p w14:paraId="058D3BF6">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生育期</w:t>
            </w:r>
          </w:p>
        </w:tc>
        <w:tc>
          <w:tcPr>
            <w:tcW w:w="709" w:type="dxa"/>
            <w:vMerge w:val="restart"/>
            <w:tcBorders>
              <w:top w:val="single" w:color="000000" w:sz="4" w:space="0"/>
              <w:left w:val="nil"/>
              <w:bottom w:val="single" w:color="000000" w:sz="4" w:space="0"/>
              <w:right w:val="single" w:color="000000" w:sz="4" w:space="0"/>
            </w:tcBorders>
            <w:vAlign w:val="center"/>
          </w:tcPr>
          <w:p w14:paraId="16420A30">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调查株数（株）</w:t>
            </w:r>
          </w:p>
        </w:tc>
        <w:tc>
          <w:tcPr>
            <w:tcW w:w="1270" w:type="dxa"/>
            <w:vMerge w:val="restart"/>
            <w:tcBorders>
              <w:top w:val="single" w:color="000000" w:sz="4" w:space="0"/>
              <w:left w:val="nil"/>
              <w:bottom w:val="single" w:color="000000" w:sz="4" w:space="0"/>
              <w:right w:val="single" w:color="000000" w:sz="4" w:space="0"/>
            </w:tcBorders>
            <w:vAlign w:val="center"/>
          </w:tcPr>
          <w:p w14:paraId="7E8D814A">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发病株数（株）</w:t>
            </w:r>
          </w:p>
        </w:tc>
        <w:tc>
          <w:tcPr>
            <w:tcW w:w="904" w:type="dxa"/>
            <w:vMerge w:val="restart"/>
            <w:tcBorders>
              <w:top w:val="single" w:color="000000" w:sz="4" w:space="0"/>
              <w:left w:val="nil"/>
              <w:bottom w:val="single" w:color="000000" w:sz="4" w:space="0"/>
              <w:right w:val="single" w:color="000000" w:sz="4" w:space="0"/>
            </w:tcBorders>
            <w:vAlign w:val="center"/>
          </w:tcPr>
          <w:p w14:paraId="15A5FA62">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病株率（%）</w:t>
            </w:r>
          </w:p>
        </w:tc>
        <w:tc>
          <w:tcPr>
            <w:tcW w:w="1836" w:type="dxa"/>
            <w:gridSpan w:val="6"/>
            <w:tcBorders>
              <w:top w:val="single" w:color="000000" w:sz="4" w:space="0"/>
              <w:left w:val="nil"/>
              <w:bottom w:val="single" w:color="000000" w:sz="4" w:space="0"/>
              <w:right w:val="single" w:color="000000" w:sz="4" w:space="0"/>
            </w:tcBorders>
            <w:vAlign w:val="center"/>
          </w:tcPr>
          <w:p w14:paraId="1B8336E1">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病株分级</w:t>
            </w:r>
          </w:p>
        </w:tc>
        <w:tc>
          <w:tcPr>
            <w:tcW w:w="965" w:type="dxa"/>
            <w:vMerge w:val="restart"/>
            <w:tcBorders>
              <w:top w:val="single" w:color="000000" w:sz="4" w:space="0"/>
              <w:left w:val="nil"/>
              <w:bottom w:val="single" w:color="000000" w:sz="4" w:space="0"/>
              <w:right w:val="single" w:color="000000" w:sz="4" w:space="0"/>
            </w:tcBorders>
            <w:vAlign w:val="center"/>
          </w:tcPr>
          <w:p w14:paraId="13DD0ED6">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病情指数</w:t>
            </w:r>
          </w:p>
        </w:tc>
        <w:tc>
          <w:tcPr>
            <w:tcW w:w="904" w:type="dxa"/>
            <w:vMerge w:val="restart"/>
            <w:tcBorders>
              <w:top w:val="single" w:color="000000" w:sz="4" w:space="0"/>
              <w:left w:val="nil"/>
              <w:bottom w:val="single" w:color="000000" w:sz="4" w:space="0"/>
              <w:right w:val="single" w:color="000000" w:sz="4" w:space="0"/>
            </w:tcBorders>
            <w:vAlign w:val="center"/>
          </w:tcPr>
          <w:p w14:paraId="228EEAF4">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发生面积（万亩）</w:t>
            </w:r>
          </w:p>
        </w:tc>
        <w:tc>
          <w:tcPr>
            <w:tcW w:w="684" w:type="dxa"/>
            <w:vMerge w:val="restart"/>
            <w:tcBorders>
              <w:top w:val="single" w:color="000000" w:sz="4" w:space="0"/>
              <w:left w:val="nil"/>
              <w:bottom w:val="single" w:color="000000" w:sz="4" w:space="0"/>
              <w:right w:val="single" w:color="000000" w:sz="4" w:space="0"/>
            </w:tcBorders>
            <w:vAlign w:val="center"/>
          </w:tcPr>
          <w:p w14:paraId="5FD869DB">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备注</w:t>
            </w:r>
          </w:p>
        </w:tc>
      </w:tr>
      <w:tr w14:paraId="0ABE469A">
        <w:tblPrEx>
          <w:tblCellMar>
            <w:top w:w="0" w:type="dxa"/>
            <w:left w:w="108" w:type="dxa"/>
            <w:bottom w:w="0" w:type="dxa"/>
            <w:right w:w="108" w:type="dxa"/>
          </w:tblCellMar>
        </w:tblPrEx>
        <w:trPr>
          <w:trHeight w:val="38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FD0E47">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04197AE9">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08CEA33">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19019127">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6C2A4AD9">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2D866430">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17BE5AEF">
            <w:pPr>
              <w:widowControl/>
              <w:adjustRightInd/>
              <w:spacing w:line="240" w:lineRule="auto"/>
              <w:jc w:val="left"/>
              <w:rPr>
                <w:rFonts w:ascii="宋体" w:hAnsi="宋体"/>
                <w:color w:val="000000"/>
                <w:kern w:val="0"/>
                <w:sz w:val="18"/>
                <w:szCs w:val="18"/>
              </w:rPr>
            </w:pPr>
          </w:p>
        </w:tc>
        <w:tc>
          <w:tcPr>
            <w:tcW w:w="306" w:type="dxa"/>
            <w:tcBorders>
              <w:top w:val="single" w:color="000000" w:sz="4" w:space="0"/>
              <w:left w:val="nil"/>
              <w:bottom w:val="single" w:color="000000" w:sz="4" w:space="0"/>
              <w:right w:val="single" w:color="000000" w:sz="4" w:space="0"/>
            </w:tcBorders>
            <w:vAlign w:val="center"/>
          </w:tcPr>
          <w:p w14:paraId="7CB33FF6">
            <w:pPr>
              <w:widowControl/>
              <w:adjustRightInd/>
              <w:spacing w:line="240" w:lineRule="auto"/>
              <w:jc w:val="center"/>
              <w:rPr>
                <w:rFonts w:hint="eastAsia" w:ascii="宋体" w:hAnsi="宋体"/>
                <w:color w:val="000000"/>
                <w:kern w:val="0"/>
                <w:sz w:val="16"/>
                <w:szCs w:val="16"/>
              </w:rPr>
            </w:pPr>
            <w:r>
              <w:rPr>
                <w:rFonts w:hint="eastAsia" w:ascii="宋体" w:hAnsi="宋体"/>
                <w:color w:val="000000"/>
                <w:kern w:val="0"/>
                <w:sz w:val="16"/>
                <w:szCs w:val="16"/>
              </w:rPr>
              <w:t>0</w:t>
            </w:r>
          </w:p>
        </w:tc>
        <w:tc>
          <w:tcPr>
            <w:tcW w:w="306" w:type="dxa"/>
            <w:tcBorders>
              <w:top w:val="single" w:color="000000" w:sz="4" w:space="0"/>
              <w:left w:val="nil"/>
              <w:bottom w:val="single" w:color="000000" w:sz="4" w:space="0"/>
              <w:right w:val="single" w:color="000000" w:sz="4" w:space="0"/>
            </w:tcBorders>
            <w:vAlign w:val="center"/>
          </w:tcPr>
          <w:p w14:paraId="03A9C8F7">
            <w:pPr>
              <w:widowControl/>
              <w:adjustRightInd/>
              <w:spacing w:line="240" w:lineRule="auto"/>
              <w:jc w:val="center"/>
              <w:rPr>
                <w:rFonts w:hint="eastAsia" w:ascii="宋体" w:hAnsi="宋体"/>
                <w:color w:val="000000"/>
                <w:kern w:val="0"/>
                <w:sz w:val="16"/>
                <w:szCs w:val="16"/>
              </w:rPr>
            </w:pPr>
            <w:r>
              <w:rPr>
                <w:rFonts w:hint="eastAsia" w:ascii="宋体" w:hAnsi="宋体"/>
                <w:color w:val="000000"/>
                <w:kern w:val="0"/>
                <w:sz w:val="16"/>
                <w:szCs w:val="16"/>
              </w:rPr>
              <w:t>1</w:t>
            </w:r>
          </w:p>
        </w:tc>
        <w:tc>
          <w:tcPr>
            <w:tcW w:w="306" w:type="dxa"/>
            <w:tcBorders>
              <w:top w:val="single" w:color="000000" w:sz="4" w:space="0"/>
              <w:left w:val="nil"/>
              <w:bottom w:val="single" w:color="000000" w:sz="4" w:space="0"/>
              <w:right w:val="single" w:color="000000" w:sz="4" w:space="0"/>
            </w:tcBorders>
            <w:vAlign w:val="center"/>
          </w:tcPr>
          <w:p w14:paraId="238F644E">
            <w:pPr>
              <w:widowControl/>
              <w:adjustRightInd/>
              <w:spacing w:line="240" w:lineRule="auto"/>
              <w:jc w:val="center"/>
              <w:rPr>
                <w:rFonts w:hint="eastAsia" w:ascii="宋体" w:hAnsi="宋体"/>
                <w:color w:val="000000"/>
                <w:kern w:val="0"/>
                <w:sz w:val="16"/>
                <w:szCs w:val="16"/>
              </w:rPr>
            </w:pPr>
            <w:r>
              <w:rPr>
                <w:rFonts w:hint="eastAsia" w:ascii="宋体" w:hAnsi="宋体"/>
                <w:color w:val="000000"/>
                <w:kern w:val="0"/>
                <w:sz w:val="16"/>
                <w:szCs w:val="16"/>
              </w:rPr>
              <w:t>3</w:t>
            </w:r>
          </w:p>
        </w:tc>
        <w:tc>
          <w:tcPr>
            <w:tcW w:w="306" w:type="dxa"/>
            <w:tcBorders>
              <w:top w:val="single" w:color="000000" w:sz="4" w:space="0"/>
              <w:left w:val="nil"/>
              <w:bottom w:val="single" w:color="000000" w:sz="4" w:space="0"/>
              <w:right w:val="single" w:color="000000" w:sz="4" w:space="0"/>
            </w:tcBorders>
            <w:vAlign w:val="center"/>
          </w:tcPr>
          <w:p w14:paraId="4F07BD22">
            <w:pPr>
              <w:widowControl/>
              <w:adjustRightInd/>
              <w:spacing w:line="240" w:lineRule="auto"/>
              <w:jc w:val="center"/>
              <w:rPr>
                <w:rFonts w:hint="eastAsia" w:ascii="宋体" w:hAnsi="宋体"/>
                <w:color w:val="000000"/>
                <w:kern w:val="0"/>
                <w:sz w:val="16"/>
                <w:szCs w:val="16"/>
              </w:rPr>
            </w:pPr>
            <w:r>
              <w:rPr>
                <w:rFonts w:hint="eastAsia" w:ascii="宋体" w:hAnsi="宋体"/>
                <w:color w:val="000000"/>
                <w:kern w:val="0"/>
                <w:sz w:val="16"/>
                <w:szCs w:val="16"/>
              </w:rPr>
              <w:t>5</w:t>
            </w:r>
          </w:p>
        </w:tc>
        <w:tc>
          <w:tcPr>
            <w:tcW w:w="306" w:type="dxa"/>
            <w:tcBorders>
              <w:top w:val="single" w:color="000000" w:sz="4" w:space="0"/>
              <w:left w:val="nil"/>
              <w:bottom w:val="single" w:color="000000" w:sz="4" w:space="0"/>
              <w:right w:val="single" w:color="000000" w:sz="4" w:space="0"/>
            </w:tcBorders>
            <w:vAlign w:val="center"/>
          </w:tcPr>
          <w:p w14:paraId="76EF8F0D">
            <w:pPr>
              <w:widowControl/>
              <w:adjustRightInd/>
              <w:spacing w:line="240" w:lineRule="auto"/>
              <w:jc w:val="center"/>
              <w:rPr>
                <w:rFonts w:hint="eastAsia" w:ascii="宋体" w:hAnsi="宋体"/>
                <w:color w:val="000000"/>
                <w:kern w:val="0"/>
                <w:sz w:val="16"/>
                <w:szCs w:val="16"/>
              </w:rPr>
            </w:pPr>
            <w:r>
              <w:rPr>
                <w:rFonts w:hint="eastAsia" w:ascii="宋体" w:hAnsi="宋体"/>
                <w:color w:val="000000"/>
                <w:kern w:val="0"/>
                <w:sz w:val="16"/>
                <w:szCs w:val="16"/>
              </w:rPr>
              <w:t>7</w:t>
            </w:r>
          </w:p>
        </w:tc>
        <w:tc>
          <w:tcPr>
            <w:tcW w:w="306" w:type="dxa"/>
            <w:tcBorders>
              <w:top w:val="single" w:color="000000" w:sz="4" w:space="0"/>
              <w:left w:val="nil"/>
              <w:bottom w:val="single" w:color="000000" w:sz="4" w:space="0"/>
              <w:right w:val="single" w:color="000000" w:sz="4" w:space="0"/>
            </w:tcBorders>
            <w:vAlign w:val="center"/>
          </w:tcPr>
          <w:p w14:paraId="5F4FCD6C">
            <w:pPr>
              <w:widowControl/>
              <w:adjustRightInd/>
              <w:spacing w:line="240" w:lineRule="auto"/>
              <w:jc w:val="center"/>
              <w:rPr>
                <w:rFonts w:hint="eastAsia" w:ascii="宋体" w:hAnsi="宋体"/>
                <w:color w:val="000000"/>
                <w:kern w:val="0"/>
                <w:sz w:val="16"/>
                <w:szCs w:val="16"/>
              </w:rPr>
            </w:pPr>
            <w:r>
              <w:rPr>
                <w:rFonts w:hint="eastAsia" w:ascii="宋体" w:hAnsi="宋体"/>
                <w:color w:val="000000"/>
                <w:kern w:val="0"/>
                <w:sz w:val="16"/>
                <w:szCs w:val="16"/>
              </w:rPr>
              <w:t>9</w:t>
            </w:r>
          </w:p>
        </w:tc>
        <w:tc>
          <w:tcPr>
            <w:tcW w:w="0" w:type="auto"/>
            <w:vMerge w:val="continue"/>
            <w:tcBorders>
              <w:top w:val="single" w:color="000000" w:sz="4" w:space="0"/>
              <w:left w:val="nil"/>
              <w:bottom w:val="single" w:color="000000" w:sz="4" w:space="0"/>
              <w:right w:val="single" w:color="000000" w:sz="4" w:space="0"/>
            </w:tcBorders>
            <w:vAlign w:val="center"/>
          </w:tcPr>
          <w:p w14:paraId="13889110">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7931CAB5">
            <w:pPr>
              <w:widowControl/>
              <w:adjustRightInd/>
              <w:spacing w:line="240" w:lineRule="auto"/>
              <w:jc w:val="left"/>
              <w:rPr>
                <w:rFonts w:ascii="宋体" w:hAnsi="宋体"/>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063A6EEE">
            <w:pPr>
              <w:widowControl/>
              <w:adjustRightInd/>
              <w:spacing w:line="240" w:lineRule="auto"/>
              <w:jc w:val="left"/>
              <w:rPr>
                <w:rFonts w:ascii="宋体" w:hAnsi="宋体"/>
                <w:color w:val="000000"/>
                <w:kern w:val="0"/>
                <w:sz w:val="18"/>
                <w:szCs w:val="18"/>
              </w:rPr>
            </w:pPr>
          </w:p>
        </w:tc>
      </w:tr>
      <w:tr w14:paraId="4A85213B">
        <w:tblPrEx>
          <w:tblCellMar>
            <w:top w:w="0" w:type="dxa"/>
            <w:left w:w="108" w:type="dxa"/>
            <w:bottom w:w="0" w:type="dxa"/>
            <w:right w:w="108" w:type="dxa"/>
          </w:tblCellMar>
        </w:tblPrEx>
        <w:trPr>
          <w:trHeight w:val="260" w:hRule="atLeast"/>
        </w:trPr>
        <w:tc>
          <w:tcPr>
            <w:tcW w:w="878" w:type="dxa"/>
            <w:tcBorders>
              <w:top w:val="single" w:color="000000" w:sz="4" w:space="0"/>
              <w:left w:val="single" w:color="000000" w:sz="4" w:space="0"/>
              <w:bottom w:val="single" w:color="000000" w:sz="4" w:space="0"/>
              <w:right w:val="single" w:color="000000" w:sz="4" w:space="0"/>
            </w:tcBorders>
          </w:tcPr>
          <w:p w14:paraId="40A746E1">
            <w:pPr>
              <w:adjustRightInd/>
              <w:spacing w:line="240" w:lineRule="auto"/>
              <w:rPr>
                <w:rFonts w:hint="eastAsia"/>
                <w:sz w:val="20"/>
                <w:szCs w:val="20"/>
              </w:rPr>
            </w:pPr>
          </w:p>
        </w:tc>
        <w:tc>
          <w:tcPr>
            <w:tcW w:w="525" w:type="dxa"/>
            <w:tcBorders>
              <w:top w:val="single" w:color="000000" w:sz="4" w:space="0"/>
              <w:left w:val="nil"/>
              <w:bottom w:val="single" w:color="000000" w:sz="4" w:space="0"/>
              <w:right w:val="single" w:color="000000" w:sz="4" w:space="0"/>
            </w:tcBorders>
          </w:tcPr>
          <w:p w14:paraId="6C5703C5">
            <w:pPr>
              <w:adjustRightInd/>
              <w:spacing w:line="240" w:lineRule="auto"/>
              <w:rPr>
                <w:sz w:val="20"/>
                <w:szCs w:val="20"/>
              </w:rPr>
            </w:pPr>
          </w:p>
        </w:tc>
        <w:tc>
          <w:tcPr>
            <w:tcW w:w="526" w:type="dxa"/>
            <w:tcBorders>
              <w:top w:val="single" w:color="000000" w:sz="4" w:space="0"/>
              <w:left w:val="nil"/>
              <w:bottom w:val="single" w:color="000000" w:sz="4" w:space="0"/>
              <w:right w:val="single" w:color="000000" w:sz="4" w:space="0"/>
            </w:tcBorders>
          </w:tcPr>
          <w:p w14:paraId="61389B32">
            <w:pPr>
              <w:adjustRightInd/>
              <w:spacing w:line="240" w:lineRule="auto"/>
              <w:rPr>
                <w:sz w:val="20"/>
                <w:szCs w:val="20"/>
              </w:rPr>
            </w:pPr>
          </w:p>
        </w:tc>
        <w:tc>
          <w:tcPr>
            <w:tcW w:w="819" w:type="dxa"/>
            <w:tcBorders>
              <w:top w:val="single" w:color="000000" w:sz="4" w:space="0"/>
              <w:left w:val="nil"/>
              <w:bottom w:val="single" w:color="000000" w:sz="4" w:space="0"/>
              <w:right w:val="single" w:color="000000" w:sz="4" w:space="0"/>
            </w:tcBorders>
          </w:tcPr>
          <w:p w14:paraId="53A6A61A">
            <w:pPr>
              <w:adjustRightInd/>
              <w:spacing w:line="240" w:lineRule="auto"/>
              <w:rPr>
                <w:sz w:val="20"/>
                <w:szCs w:val="20"/>
              </w:rPr>
            </w:pPr>
          </w:p>
        </w:tc>
        <w:tc>
          <w:tcPr>
            <w:tcW w:w="709" w:type="dxa"/>
            <w:tcBorders>
              <w:top w:val="single" w:color="000000" w:sz="4" w:space="0"/>
              <w:left w:val="nil"/>
              <w:bottom w:val="single" w:color="000000" w:sz="4" w:space="0"/>
              <w:right w:val="single" w:color="000000" w:sz="4" w:space="0"/>
            </w:tcBorders>
          </w:tcPr>
          <w:p w14:paraId="3B3F2496">
            <w:pPr>
              <w:adjustRightInd/>
              <w:spacing w:line="240" w:lineRule="auto"/>
              <w:rPr>
                <w:sz w:val="20"/>
                <w:szCs w:val="20"/>
              </w:rPr>
            </w:pPr>
          </w:p>
        </w:tc>
        <w:tc>
          <w:tcPr>
            <w:tcW w:w="1270" w:type="dxa"/>
            <w:tcBorders>
              <w:top w:val="single" w:color="000000" w:sz="4" w:space="0"/>
              <w:left w:val="nil"/>
              <w:bottom w:val="single" w:color="000000" w:sz="4" w:space="0"/>
              <w:right w:val="single" w:color="000000" w:sz="4" w:space="0"/>
            </w:tcBorders>
          </w:tcPr>
          <w:p w14:paraId="006B72FA">
            <w:pPr>
              <w:adjustRightInd/>
              <w:spacing w:line="240" w:lineRule="auto"/>
              <w:rPr>
                <w:sz w:val="20"/>
                <w:szCs w:val="20"/>
              </w:rPr>
            </w:pPr>
          </w:p>
        </w:tc>
        <w:tc>
          <w:tcPr>
            <w:tcW w:w="904" w:type="dxa"/>
            <w:tcBorders>
              <w:top w:val="single" w:color="000000" w:sz="4" w:space="0"/>
              <w:left w:val="nil"/>
              <w:bottom w:val="single" w:color="000000" w:sz="4" w:space="0"/>
              <w:right w:val="single" w:color="000000" w:sz="4" w:space="0"/>
            </w:tcBorders>
            <w:noWrap/>
            <w:vAlign w:val="center"/>
          </w:tcPr>
          <w:p w14:paraId="35268430">
            <w:pPr>
              <w:adjustRightInd/>
              <w:spacing w:line="240" w:lineRule="auto"/>
              <w:rPr>
                <w:sz w:val="20"/>
                <w:szCs w:val="20"/>
              </w:rPr>
            </w:pPr>
          </w:p>
        </w:tc>
        <w:tc>
          <w:tcPr>
            <w:tcW w:w="306" w:type="dxa"/>
            <w:tcBorders>
              <w:top w:val="single" w:color="000000" w:sz="4" w:space="0"/>
              <w:left w:val="nil"/>
              <w:bottom w:val="single" w:color="000000" w:sz="4" w:space="0"/>
              <w:right w:val="single" w:color="000000" w:sz="4" w:space="0"/>
            </w:tcBorders>
            <w:noWrap/>
            <w:vAlign w:val="center"/>
          </w:tcPr>
          <w:p w14:paraId="21A9F517">
            <w:pPr>
              <w:adjustRightInd/>
              <w:spacing w:line="240" w:lineRule="auto"/>
              <w:rPr>
                <w:sz w:val="20"/>
                <w:szCs w:val="20"/>
              </w:rPr>
            </w:pPr>
          </w:p>
        </w:tc>
        <w:tc>
          <w:tcPr>
            <w:tcW w:w="306" w:type="dxa"/>
            <w:tcBorders>
              <w:top w:val="single" w:color="000000" w:sz="4" w:space="0"/>
              <w:left w:val="nil"/>
              <w:bottom w:val="single" w:color="000000" w:sz="4" w:space="0"/>
              <w:right w:val="single" w:color="000000" w:sz="4" w:space="0"/>
            </w:tcBorders>
            <w:noWrap/>
            <w:vAlign w:val="center"/>
          </w:tcPr>
          <w:p w14:paraId="102C358F">
            <w:pPr>
              <w:adjustRightInd/>
              <w:spacing w:line="240" w:lineRule="auto"/>
              <w:rPr>
                <w:sz w:val="20"/>
                <w:szCs w:val="20"/>
              </w:rPr>
            </w:pPr>
          </w:p>
        </w:tc>
        <w:tc>
          <w:tcPr>
            <w:tcW w:w="306" w:type="dxa"/>
            <w:tcBorders>
              <w:top w:val="single" w:color="000000" w:sz="4" w:space="0"/>
              <w:left w:val="nil"/>
              <w:bottom w:val="single" w:color="000000" w:sz="4" w:space="0"/>
              <w:right w:val="single" w:color="000000" w:sz="4" w:space="0"/>
            </w:tcBorders>
            <w:noWrap/>
            <w:vAlign w:val="center"/>
          </w:tcPr>
          <w:p w14:paraId="0B0F61A4">
            <w:pPr>
              <w:adjustRightInd/>
              <w:spacing w:line="240" w:lineRule="auto"/>
              <w:rPr>
                <w:sz w:val="20"/>
                <w:szCs w:val="20"/>
              </w:rPr>
            </w:pPr>
          </w:p>
        </w:tc>
        <w:tc>
          <w:tcPr>
            <w:tcW w:w="306" w:type="dxa"/>
            <w:tcBorders>
              <w:top w:val="single" w:color="000000" w:sz="4" w:space="0"/>
              <w:left w:val="nil"/>
              <w:bottom w:val="single" w:color="000000" w:sz="4" w:space="0"/>
              <w:right w:val="single" w:color="000000" w:sz="4" w:space="0"/>
            </w:tcBorders>
            <w:noWrap/>
            <w:vAlign w:val="center"/>
          </w:tcPr>
          <w:p w14:paraId="682192A0">
            <w:pPr>
              <w:adjustRightInd/>
              <w:spacing w:line="240" w:lineRule="auto"/>
              <w:rPr>
                <w:sz w:val="20"/>
                <w:szCs w:val="20"/>
              </w:rPr>
            </w:pPr>
          </w:p>
        </w:tc>
        <w:tc>
          <w:tcPr>
            <w:tcW w:w="306" w:type="dxa"/>
            <w:tcBorders>
              <w:top w:val="single" w:color="000000" w:sz="4" w:space="0"/>
              <w:left w:val="nil"/>
              <w:bottom w:val="single" w:color="000000" w:sz="4" w:space="0"/>
              <w:right w:val="single" w:color="000000" w:sz="4" w:space="0"/>
            </w:tcBorders>
            <w:noWrap/>
            <w:vAlign w:val="center"/>
          </w:tcPr>
          <w:p w14:paraId="6B02F59A">
            <w:pPr>
              <w:adjustRightInd/>
              <w:spacing w:line="240" w:lineRule="auto"/>
              <w:rPr>
                <w:sz w:val="20"/>
                <w:szCs w:val="20"/>
              </w:rPr>
            </w:pPr>
          </w:p>
        </w:tc>
        <w:tc>
          <w:tcPr>
            <w:tcW w:w="306" w:type="dxa"/>
            <w:tcBorders>
              <w:top w:val="single" w:color="000000" w:sz="4" w:space="0"/>
              <w:left w:val="nil"/>
              <w:bottom w:val="single" w:color="000000" w:sz="4" w:space="0"/>
              <w:right w:val="single" w:color="000000" w:sz="4" w:space="0"/>
            </w:tcBorders>
            <w:noWrap/>
            <w:vAlign w:val="center"/>
          </w:tcPr>
          <w:p w14:paraId="6B9505A3">
            <w:pPr>
              <w:adjustRightInd/>
              <w:spacing w:line="240" w:lineRule="auto"/>
              <w:rPr>
                <w:sz w:val="20"/>
                <w:szCs w:val="20"/>
              </w:rPr>
            </w:pPr>
          </w:p>
        </w:tc>
        <w:tc>
          <w:tcPr>
            <w:tcW w:w="965" w:type="dxa"/>
            <w:tcBorders>
              <w:top w:val="single" w:color="000000" w:sz="4" w:space="0"/>
              <w:left w:val="nil"/>
              <w:bottom w:val="single" w:color="000000" w:sz="4" w:space="0"/>
              <w:right w:val="single" w:color="000000" w:sz="4" w:space="0"/>
            </w:tcBorders>
            <w:noWrap/>
            <w:vAlign w:val="center"/>
          </w:tcPr>
          <w:p w14:paraId="4F061F3F">
            <w:pPr>
              <w:adjustRightInd/>
              <w:spacing w:line="240" w:lineRule="auto"/>
              <w:rPr>
                <w:sz w:val="20"/>
                <w:szCs w:val="20"/>
              </w:rPr>
            </w:pPr>
          </w:p>
        </w:tc>
        <w:tc>
          <w:tcPr>
            <w:tcW w:w="904" w:type="dxa"/>
            <w:tcBorders>
              <w:top w:val="single" w:color="000000" w:sz="4" w:space="0"/>
              <w:left w:val="nil"/>
              <w:bottom w:val="single" w:color="000000" w:sz="4" w:space="0"/>
              <w:right w:val="single" w:color="000000" w:sz="4" w:space="0"/>
            </w:tcBorders>
            <w:noWrap/>
            <w:vAlign w:val="center"/>
          </w:tcPr>
          <w:p w14:paraId="38E9966B">
            <w:pPr>
              <w:adjustRightInd/>
              <w:spacing w:line="240" w:lineRule="auto"/>
              <w:rPr>
                <w:sz w:val="20"/>
                <w:szCs w:val="20"/>
              </w:rPr>
            </w:pPr>
          </w:p>
        </w:tc>
        <w:tc>
          <w:tcPr>
            <w:tcW w:w="684" w:type="dxa"/>
            <w:tcBorders>
              <w:top w:val="single" w:color="000000" w:sz="4" w:space="0"/>
              <w:left w:val="nil"/>
              <w:bottom w:val="single" w:color="000000" w:sz="4" w:space="0"/>
              <w:right w:val="single" w:color="000000" w:sz="4" w:space="0"/>
            </w:tcBorders>
            <w:noWrap/>
            <w:vAlign w:val="center"/>
          </w:tcPr>
          <w:p w14:paraId="743C5B3D">
            <w:pPr>
              <w:adjustRightInd/>
              <w:spacing w:line="240" w:lineRule="auto"/>
              <w:rPr>
                <w:sz w:val="20"/>
                <w:szCs w:val="20"/>
              </w:rPr>
            </w:pPr>
          </w:p>
        </w:tc>
      </w:tr>
    </w:tbl>
    <w:p w14:paraId="1C6C85FB">
      <w:pPr>
        <w:pStyle w:val="77"/>
        <w:spacing w:before="156" w:after="156"/>
        <w:rPr>
          <w:rFonts w:hint="eastAsia"/>
        </w:rPr>
      </w:pPr>
      <w:r>
        <w:rPr>
          <w:rFonts w:hint="eastAsia"/>
        </w:rPr>
        <w:t>花生叶斑病大田普查表</w:t>
      </w:r>
    </w:p>
    <w:p w14:paraId="0A1BC53C">
      <w:pPr>
        <w:pStyle w:val="56"/>
        <w:ind w:firstLine="420"/>
        <w:rPr>
          <w:rFonts w:hint="eastAsia"/>
        </w:rPr>
      </w:pPr>
    </w:p>
    <w:tbl>
      <w:tblPr>
        <w:tblStyle w:val="26"/>
        <w:tblW w:w="10020" w:type="dxa"/>
        <w:tblInd w:w="0" w:type="dxa"/>
        <w:tblLayout w:type="autofit"/>
        <w:tblCellMar>
          <w:top w:w="0" w:type="dxa"/>
          <w:left w:w="108" w:type="dxa"/>
          <w:bottom w:w="0" w:type="dxa"/>
          <w:right w:w="108" w:type="dxa"/>
        </w:tblCellMar>
      </w:tblPr>
      <w:tblGrid>
        <w:gridCol w:w="846"/>
        <w:gridCol w:w="846"/>
        <w:gridCol w:w="846"/>
        <w:gridCol w:w="846"/>
        <w:gridCol w:w="846"/>
        <w:gridCol w:w="846"/>
        <w:gridCol w:w="904"/>
        <w:gridCol w:w="741"/>
        <w:gridCol w:w="741"/>
        <w:gridCol w:w="741"/>
        <w:gridCol w:w="741"/>
        <w:gridCol w:w="741"/>
        <w:gridCol w:w="741"/>
        <w:gridCol w:w="965"/>
        <w:gridCol w:w="904"/>
        <w:gridCol w:w="846"/>
      </w:tblGrid>
      <w:tr w14:paraId="2D339CDB">
        <w:tblPrEx>
          <w:tblCellMar>
            <w:top w:w="0" w:type="dxa"/>
            <w:left w:w="108" w:type="dxa"/>
            <w:bottom w:w="0" w:type="dxa"/>
            <w:right w:w="108" w:type="dxa"/>
          </w:tblCellMar>
        </w:tblPrEx>
        <w:trPr>
          <w:trHeight w:val="280" w:hRule="atLeast"/>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44A160B2">
            <w:pPr>
              <w:pStyle w:val="56"/>
              <w:ind w:firstLine="420"/>
            </w:pPr>
            <w:r>
              <w:rPr>
                <w:rFonts w:hint="eastAsia"/>
              </w:rPr>
              <w:t>调查时间</w:t>
            </w:r>
          </w:p>
        </w:tc>
        <w:tc>
          <w:tcPr>
            <w:tcW w:w="525" w:type="dxa"/>
            <w:vMerge w:val="restart"/>
            <w:tcBorders>
              <w:top w:val="single" w:color="000000" w:sz="4" w:space="0"/>
              <w:left w:val="nil"/>
              <w:bottom w:val="single" w:color="000000" w:sz="4" w:space="0"/>
              <w:right w:val="single" w:color="000000" w:sz="4" w:space="0"/>
            </w:tcBorders>
            <w:vAlign w:val="center"/>
          </w:tcPr>
          <w:p w14:paraId="7E076932">
            <w:pPr>
              <w:pStyle w:val="56"/>
              <w:ind w:firstLine="420"/>
              <w:rPr>
                <w:rFonts w:hint="eastAsia"/>
              </w:rPr>
            </w:pPr>
            <w:r>
              <w:rPr>
                <w:rFonts w:hint="eastAsia"/>
              </w:rPr>
              <w:t>调查地点</w:t>
            </w:r>
          </w:p>
        </w:tc>
        <w:tc>
          <w:tcPr>
            <w:tcW w:w="526" w:type="dxa"/>
            <w:vMerge w:val="restart"/>
            <w:tcBorders>
              <w:top w:val="single" w:color="000000" w:sz="4" w:space="0"/>
              <w:left w:val="nil"/>
              <w:bottom w:val="single" w:color="000000" w:sz="4" w:space="0"/>
              <w:right w:val="single" w:color="000000" w:sz="4" w:space="0"/>
            </w:tcBorders>
            <w:shd w:val="clear" w:color="auto" w:fill="D6DCE4"/>
            <w:vAlign w:val="center"/>
          </w:tcPr>
          <w:p w14:paraId="7D5BAFE0">
            <w:pPr>
              <w:pStyle w:val="56"/>
              <w:ind w:firstLine="420"/>
              <w:rPr>
                <w:rFonts w:hint="eastAsia"/>
              </w:rPr>
            </w:pPr>
            <w:r>
              <w:rPr>
                <w:rFonts w:hint="eastAsia"/>
              </w:rPr>
              <w:t>品种</w:t>
            </w:r>
          </w:p>
        </w:tc>
        <w:tc>
          <w:tcPr>
            <w:tcW w:w="819" w:type="dxa"/>
            <w:vMerge w:val="restart"/>
            <w:tcBorders>
              <w:top w:val="single" w:color="000000" w:sz="4" w:space="0"/>
              <w:left w:val="nil"/>
              <w:bottom w:val="single" w:color="000000" w:sz="4" w:space="0"/>
              <w:right w:val="single" w:color="000000" w:sz="4" w:space="0"/>
            </w:tcBorders>
            <w:vAlign w:val="center"/>
          </w:tcPr>
          <w:p w14:paraId="4177295F">
            <w:pPr>
              <w:pStyle w:val="56"/>
              <w:ind w:firstLine="420"/>
              <w:rPr>
                <w:rFonts w:hint="eastAsia"/>
              </w:rPr>
            </w:pPr>
            <w:r>
              <w:rPr>
                <w:rFonts w:hint="eastAsia"/>
              </w:rPr>
              <w:t>生育期</w:t>
            </w:r>
          </w:p>
        </w:tc>
        <w:tc>
          <w:tcPr>
            <w:tcW w:w="709" w:type="dxa"/>
            <w:vMerge w:val="restart"/>
            <w:tcBorders>
              <w:top w:val="single" w:color="000000" w:sz="4" w:space="0"/>
              <w:left w:val="nil"/>
              <w:bottom w:val="single" w:color="000000" w:sz="4" w:space="0"/>
              <w:right w:val="single" w:color="000000" w:sz="4" w:space="0"/>
            </w:tcBorders>
            <w:vAlign w:val="center"/>
          </w:tcPr>
          <w:p w14:paraId="137B0B3D">
            <w:pPr>
              <w:pStyle w:val="56"/>
              <w:ind w:firstLine="420"/>
              <w:rPr>
                <w:rFonts w:hint="eastAsia"/>
              </w:rPr>
            </w:pPr>
            <w:r>
              <w:rPr>
                <w:rFonts w:hint="eastAsia"/>
              </w:rPr>
              <w:t>调查株数（株）</w:t>
            </w:r>
          </w:p>
        </w:tc>
        <w:tc>
          <w:tcPr>
            <w:tcW w:w="1270" w:type="dxa"/>
            <w:vMerge w:val="restart"/>
            <w:tcBorders>
              <w:top w:val="single" w:color="000000" w:sz="4" w:space="0"/>
              <w:left w:val="nil"/>
              <w:bottom w:val="single" w:color="000000" w:sz="4" w:space="0"/>
              <w:right w:val="single" w:color="000000" w:sz="4" w:space="0"/>
            </w:tcBorders>
            <w:vAlign w:val="center"/>
          </w:tcPr>
          <w:p w14:paraId="726AE1F3">
            <w:pPr>
              <w:pStyle w:val="56"/>
              <w:ind w:firstLine="420"/>
              <w:rPr>
                <w:rFonts w:hint="eastAsia"/>
              </w:rPr>
            </w:pPr>
            <w:r>
              <w:rPr>
                <w:rFonts w:hint="eastAsia"/>
              </w:rPr>
              <w:t>发病株数（株）</w:t>
            </w:r>
          </w:p>
        </w:tc>
        <w:tc>
          <w:tcPr>
            <w:tcW w:w="904" w:type="dxa"/>
            <w:vMerge w:val="restart"/>
            <w:tcBorders>
              <w:top w:val="single" w:color="000000" w:sz="4" w:space="0"/>
              <w:left w:val="nil"/>
              <w:bottom w:val="single" w:color="000000" w:sz="4" w:space="0"/>
              <w:right w:val="single" w:color="000000" w:sz="4" w:space="0"/>
            </w:tcBorders>
            <w:vAlign w:val="center"/>
          </w:tcPr>
          <w:p w14:paraId="096B095D">
            <w:pPr>
              <w:pStyle w:val="56"/>
              <w:ind w:firstLine="420"/>
              <w:rPr>
                <w:rFonts w:hint="eastAsia"/>
              </w:rPr>
            </w:pPr>
            <w:r>
              <w:rPr>
                <w:rFonts w:hint="eastAsia"/>
              </w:rPr>
              <w:t>病株率（%）</w:t>
            </w:r>
          </w:p>
        </w:tc>
        <w:tc>
          <w:tcPr>
            <w:tcW w:w="1836" w:type="dxa"/>
            <w:gridSpan w:val="6"/>
            <w:tcBorders>
              <w:top w:val="single" w:color="000000" w:sz="4" w:space="0"/>
              <w:left w:val="nil"/>
              <w:bottom w:val="single" w:color="000000" w:sz="4" w:space="0"/>
              <w:right w:val="single" w:color="000000" w:sz="4" w:space="0"/>
            </w:tcBorders>
            <w:vAlign w:val="center"/>
          </w:tcPr>
          <w:p w14:paraId="6A52DF6B">
            <w:pPr>
              <w:pStyle w:val="56"/>
              <w:ind w:firstLine="420"/>
              <w:rPr>
                <w:rFonts w:hint="eastAsia"/>
              </w:rPr>
            </w:pPr>
            <w:r>
              <w:rPr>
                <w:rFonts w:hint="eastAsia"/>
              </w:rPr>
              <w:t>病株分级</w:t>
            </w:r>
          </w:p>
        </w:tc>
        <w:tc>
          <w:tcPr>
            <w:tcW w:w="965" w:type="dxa"/>
            <w:vMerge w:val="restart"/>
            <w:tcBorders>
              <w:top w:val="single" w:color="000000" w:sz="4" w:space="0"/>
              <w:left w:val="nil"/>
              <w:bottom w:val="single" w:color="000000" w:sz="4" w:space="0"/>
              <w:right w:val="single" w:color="000000" w:sz="4" w:space="0"/>
            </w:tcBorders>
            <w:vAlign w:val="center"/>
          </w:tcPr>
          <w:p w14:paraId="0851F347">
            <w:pPr>
              <w:pStyle w:val="56"/>
              <w:ind w:firstLine="420"/>
              <w:rPr>
                <w:rFonts w:hint="eastAsia"/>
              </w:rPr>
            </w:pPr>
            <w:r>
              <w:rPr>
                <w:rFonts w:hint="eastAsia"/>
              </w:rPr>
              <w:t>病情指数</w:t>
            </w:r>
          </w:p>
        </w:tc>
        <w:tc>
          <w:tcPr>
            <w:tcW w:w="904" w:type="dxa"/>
            <w:vMerge w:val="restart"/>
            <w:tcBorders>
              <w:top w:val="single" w:color="000000" w:sz="4" w:space="0"/>
              <w:left w:val="nil"/>
              <w:bottom w:val="single" w:color="000000" w:sz="4" w:space="0"/>
              <w:right w:val="single" w:color="000000" w:sz="4" w:space="0"/>
            </w:tcBorders>
            <w:vAlign w:val="center"/>
          </w:tcPr>
          <w:p w14:paraId="4AEE9161">
            <w:pPr>
              <w:pStyle w:val="56"/>
              <w:ind w:firstLine="420"/>
              <w:rPr>
                <w:rFonts w:hint="eastAsia"/>
              </w:rPr>
            </w:pPr>
            <w:r>
              <w:rPr>
                <w:rFonts w:hint="eastAsia"/>
              </w:rPr>
              <w:t>发生面积（万亩）</w:t>
            </w:r>
          </w:p>
        </w:tc>
        <w:tc>
          <w:tcPr>
            <w:tcW w:w="684" w:type="dxa"/>
            <w:vMerge w:val="restart"/>
            <w:tcBorders>
              <w:top w:val="single" w:color="000000" w:sz="4" w:space="0"/>
              <w:left w:val="nil"/>
              <w:bottom w:val="single" w:color="000000" w:sz="4" w:space="0"/>
              <w:right w:val="single" w:color="000000" w:sz="4" w:space="0"/>
            </w:tcBorders>
            <w:vAlign w:val="center"/>
          </w:tcPr>
          <w:p w14:paraId="3D4C24FC">
            <w:pPr>
              <w:pStyle w:val="56"/>
              <w:ind w:firstLine="420"/>
              <w:rPr>
                <w:rFonts w:hint="eastAsia"/>
              </w:rPr>
            </w:pPr>
            <w:r>
              <w:rPr>
                <w:rFonts w:hint="eastAsia"/>
              </w:rPr>
              <w:t>备注</w:t>
            </w:r>
          </w:p>
        </w:tc>
      </w:tr>
      <w:tr w14:paraId="628923F2">
        <w:tblPrEx>
          <w:tblCellMar>
            <w:top w:w="0" w:type="dxa"/>
            <w:left w:w="108" w:type="dxa"/>
            <w:bottom w:w="0" w:type="dxa"/>
            <w:right w:w="108" w:type="dxa"/>
          </w:tblCellMar>
        </w:tblPrEx>
        <w:trPr>
          <w:trHeight w:val="38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155813">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3DE09490">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6BB032F9">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61A0726A">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6352455E">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663C0076">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26EA9C7D">
            <w:pPr>
              <w:pStyle w:val="56"/>
              <w:ind w:firstLine="420"/>
            </w:pPr>
          </w:p>
        </w:tc>
        <w:tc>
          <w:tcPr>
            <w:tcW w:w="306" w:type="dxa"/>
            <w:tcBorders>
              <w:top w:val="single" w:color="000000" w:sz="4" w:space="0"/>
              <w:left w:val="nil"/>
              <w:bottom w:val="single" w:color="000000" w:sz="4" w:space="0"/>
              <w:right w:val="single" w:color="000000" w:sz="4" w:space="0"/>
            </w:tcBorders>
            <w:vAlign w:val="center"/>
          </w:tcPr>
          <w:p w14:paraId="11823749">
            <w:pPr>
              <w:pStyle w:val="56"/>
              <w:ind w:firstLine="420"/>
              <w:rPr>
                <w:rFonts w:hint="eastAsia"/>
              </w:rPr>
            </w:pPr>
            <w:r>
              <w:rPr>
                <w:rFonts w:hint="eastAsia"/>
              </w:rPr>
              <w:t>0</w:t>
            </w:r>
          </w:p>
        </w:tc>
        <w:tc>
          <w:tcPr>
            <w:tcW w:w="306" w:type="dxa"/>
            <w:tcBorders>
              <w:top w:val="single" w:color="000000" w:sz="4" w:space="0"/>
              <w:left w:val="nil"/>
              <w:bottom w:val="single" w:color="000000" w:sz="4" w:space="0"/>
              <w:right w:val="single" w:color="000000" w:sz="4" w:space="0"/>
            </w:tcBorders>
            <w:vAlign w:val="center"/>
          </w:tcPr>
          <w:p w14:paraId="4B8FB71F">
            <w:pPr>
              <w:pStyle w:val="56"/>
              <w:ind w:firstLine="420"/>
              <w:rPr>
                <w:rFonts w:hint="eastAsia"/>
              </w:rPr>
            </w:pPr>
            <w:r>
              <w:rPr>
                <w:rFonts w:hint="eastAsia"/>
              </w:rPr>
              <w:t>1</w:t>
            </w:r>
          </w:p>
        </w:tc>
        <w:tc>
          <w:tcPr>
            <w:tcW w:w="306" w:type="dxa"/>
            <w:tcBorders>
              <w:top w:val="single" w:color="000000" w:sz="4" w:space="0"/>
              <w:left w:val="nil"/>
              <w:bottom w:val="single" w:color="000000" w:sz="4" w:space="0"/>
              <w:right w:val="single" w:color="000000" w:sz="4" w:space="0"/>
            </w:tcBorders>
            <w:vAlign w:val="center"/>
          </w:tcPr>
          <w:p w14:paraId="637104AA">
            <w:pPr>
              <w:pStyle w:val="56"/>
              <w:ind w:firstLine="420"/>
              <w:rPr>
                <w:rFonts w:hint="eastAsia"/>
              </w:rPr>
            </w:pPr>
            <w:r>
              <w:rPr>
                <w:rFonts w:hint="eastAsia"/>
              </w:rPr>
              <w:t>3</w:t>
            </w:r>
          </w:p>
        </w:tc>
        <w:tc>
          <w:tcPr>
            <w:tcW w:w="306" w:type="dxa"/>
            <w:tcBorders>
              <w:top w:val="single" w:color="000000" w:sz="4" w:space="0"/>
              <w:left w:val="nil"/>
              <w:bottom w:val="single" w:color="000000" w:sz="4" w:space="0"/>
              <w:right w:val="single" w:color="000000" w:sz="4" w:space="0"/>
            </w:tcBorders>
            <w:vAlign w:val="center"/>
          </w:tcPr>
          <w:p w14:paraId="01CCD6E3">
            <w:pPr>
              <w:pStyle w:val="56"/>
              <w:ind w:firstLine="420"/>
              <w:rPr>
                <w:rFonts w:hint="eastAsia"/>
              </w:rPr>
            </w:pPr>
            <w:r>
              <w:rPr>
                <w:rFonts w:hint="eastAsia"/>
              </w:rPr>
              <w:t>5</w:t>
            </w:r>
          </w:p>
        </w:tc>
        <w:tc>
          <w:tcPr>
            <w:tcW w:w="306" w:type="dxa"/>
            <w:tcBorders>
              <w:top w:val="single" w:color="000000" w:sz="4" w:space="0"/>
              <w:left w:val="nil"/>
              <w:bottom w:val="single" w:color="000000" w:sz="4" w:space="0"/>
              <w:right w:val="single" w:color="000000" w:sz="4" w:space="0"/>
            </w:tcBorders>
            <w:vAlign w:val="center"/>
          </w:tcPr>
          <w:p w14:paraId="2A5C6FDF">
            <w:pPr>
              <w:pStyle w:val="56"/>
              <w:ind w:firstLine="420"/>
              <w:rPr>
                <w:rFonts w:hint="eastAsia"/>
              </w:rPr>
            </w:pPr>
            <w:r>
              <w:rPr>
                <w:rFonts w:hint="eastAsia"/>
              </w:rPr>
              <w:t>7</w:t>
            </w:r>
          </w:p>
        </w:tc>
        <w:tc>
          <w:tcPr>
            <w:tcW w:w="306" w:type="dxa"/>
            <w:tcBorders>
              <w:top w:val="single" w:color="000000" w:sz="4" w:space="0"/>
              <w:left w:val="nil"/>
              <w:bottom w:val="single" w:color="000000" w:sz="4" w:space="0"/>
              <w:right w:val="single" w:color="000000" w:sz="4" w:space="0"/>
            </w:tcBorders>
            <w:vAlign w:val="center"/>
          </w:tcPr>
          <w:p w14:paraId="373C9AB4">
            <w:pPr>
              <w:pStyle w:val="56"/>
              <w:ind w:firstLine="420"/>
              <w:rPr>
                <w:rFonts w:hint="eastAsia"/>
              </w:rPr>
            </w:pPr>
            <w:r>
              <w:rPr>
                <w:rFonts w:hint="eastAsia"/>
              </w:rPr>
              <w:t>9</w:t>
            </w:r>
          </w:p>
        </w:tc>
        <w:tc>
          <w:tcPr>
            <w:tcW w:w="0" w:type="auto"/>
            <w:vMerge w:val="continue"/>
            <w:tcBorders>
              <w:top w:val="single" w:color="000000" w:sz="4" w:space="0"/>
              <w:left w:val="nil"/>
              <w:bottom w:val="single" w:color="000000" w:sz="4" w:space="0"/>
              <w:right w:val="single" w:color="000000" w:sz="4" w:space="0"/>
            </w:tcBorders>
            <w:vAlign w:val="center"/>
          </w:tcPr>
          <w:p w14:paraId="2B07A9F5">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600FE92E">
            <w:pPr>
              <w:pStyle w:val="56"/>
              <w:ind w:firstLine="420"/>
            </w:pPr>
          </w:p>
        </w:tc>
        <w:tc>
          <w:tcPr>
            <w:tcW w:w="0" w:type="auto"/>
            <w:vMerge w:val="continue"/>
            <w:tcBorders>
              <w:top w:val="single" w:color="000000" w:sz="4" w:space="0"/>
              <w:left w:val="nil"/>
              <w:bottom w:val="single" w:color="000000" w:sz="4" w:space="0"/>
              <w:right w:val="single" w:color="000000" w:sz="4" w:space="0"/>
            </w:tcBorders>
            <w:vAlign w:val="center"/>
          </w:tcPr>
          <w:p w14:paraId="5D7166FF">
            <w:pPr>
              <w:pStyle w:val="56"/>
              <w:ind w:firstLine="420"/>
            </w:pPr>
          </w:p>
        </w:tc>
      </w:tr>
      <w:tr w14:paraId="0C53D0CD">
        <w:tblPrEx>
          <w:tblCellMar>
            <w:top w:w="0" w:type="dxa"/>
            <w:left w:w="108" w:type="dxa"/>
            <w:bottom w:w="0" w:type="dxa"/>
            <w:right w:w="108" w:type="dxa"/>
          </w:tblCellMar>
        </w:tblPrEx>
        <w:trPr>
          <w:trHeight w:val="260" w:hRule="atLeast"/>
        </w:trPr>
        <w:tc>
          <w:tcPr>
            <w:tcW w:w="878" w:type="dxa"/>
            <w:tcBorders>
              <w:top w:val="single" w:color="000000" w:sz="4" w:space="0"/>
              <w:left w:val="single" w:color="000000" w:sz="4" w:space="0"/>
              <w:bottom w:val="single" w:color="000000" w:sz="4" w:space="0"/>
              <w:right w:val="single" w:color="000000" w:sz="4" w:space="0"/>
            </w:tcBorders>
          </w:tcPr>
          <w:p w14:paraId="4234D68D">
            <w:pPr>
              <w:pStyle w:val="56"/>
              <w:ind w:firstLine="420"/>
              <w:rPr>
                <w:rFonts w:hint="eastAsia"/>
              </w:rPr>
            </w:pPr>
          </w:p>
        </w:tc>
        <w:tc>
          <w:tcPr>
            <w:tcW w:w="525" w:type="dxa"/>
            <w:tcBorders>
              <w:top w:val="single" w:color="000000" w:sz="4" w:space="0"/>
              <w:left w:val="nil"/>
              <w:bottom w:val="single" w:color="000000" w:sz="4" w:space="0"/>
              <w:right w:val="single" w:color="000000" w:sz="4" w:space="0"/>
            </w:tcBorders>
          </w:tcPr>
          <w:p w14:paraId="0017BEAF">
            <w:pPr>
              <w:pStyle w:val="56"/>
              <w:ind w:firstLine="420"/>
            </w:pPr>
          </w:p>
        </w:tc>
        <w:tc>
          <w:tcPr>
            <w:tcW w:w="526" w:type="dxa"/>
            <w:tcBorders>
              <w:top w:val="single" w:color="000000" w:sz="4" w:space="0"/>
              <w:left w:val="nil"/>
              <w:bottom w:val="single" w:color="000000" w:sz="4" w:space="0"/>
              <w:right w:val="single" w:color="000000" w:sz="4" w:space="0"/>
            </w:tcBorders>
          </w:tcPr>
          <w:p w14:paraId="29FB02C9">
            <w:pPr>
              <w:pStyle w:val="56"/>
              <w:ind w:firstLine="420"/>
            </w:pPr>
          </w:p>
        </w:tc>
        <w:tc>
          <w:tcPr>
            <w:tcW w:w="819" w:type="dxa"/>
            <w:tcBorders>
              <w:top w:val="single" w:color="000000" w:sz="4" w:space="0"/>
              <w:left w:val="nil"/>
              <w:bottom w:val="single" w:color="000000" w:sz="4" w:space="0"/>
              <w:right w:val="single" w:color="000000" w:sz="4" w:space="0"/>
            </w:tcBorders>
          </w:tcPr>
          <w:p w14:paraId="1DA6B03D">
            <w:pPr>
              <w:pStyle w:val="56"/>
              <w:ind w:firstLine="420"/>
            </w:pPr>
          </w:p>
        </w:tc>
        <w:tc>
          <w:tcPr>
            <w:tcW w:w="709" w:type="dxa"/>
            <w:tcBorders>
              <w:top w:val="single" w:color="000000" w:sz="4" w:space="0"/>
              <w:left w:val="nil"/>
              <w:bottom w:val="single" w:color="000000" w:sz="4" w:space="0"/>
              <w:right w:val="single" w:color="000000" w:sz="4" w:space="0"/>
            </w:tcBorders>
          </w:tcPr>
          <w:p w14:paraId="1EC3E5C2">
            <w:pPr>
              <w:pStyle w:val="56"/>
              <w:ind w:firstLine="420"/>
            </w:pPr>
          </w:p>
        </w:tc>
        <w:tc>
          <w:tcPr>
            <w:tcW w:w="1270" w:type="dxa"/>
            <w:tcBorders>
              <w:top w:val="single" w:color="000000" w:sz="4" w:space="0"/>
              <w:left w:val="nil"/>
              <w:bottom w:val="single" w:color="000000" w:sz="4" w:space="0"/>
              <w:right w:val="single" w:color="000000" w:sz="4" w:space="0"/>
            </w:tcBorders>
          </w:tcPr>
          <w:p w14:paraId="5C5215E5">
            <w:pPr>
              <w:pStyle w:val="56"/>
              <w:ind w:firstLine="420"/>
            </w:pPr>
          </w:p>
        </w:tc>
        <w:tc>
          <w:tcPr>
            <w:tcW w:w="904" w:type="dxa"/>
            <w:tcBorders>
              <w:top w:val="single" w:color="000000" w:sz="4" w:space="0"/>
              <w:left w:val="nil"/>
              <w:bottom w:val="single" w:color="000000" w:sz="4" w:space="0"/>
              <w:right w:val="single" w:color="000000" w:sz="4" w:space="0"/>
            </w:tcBorders>
            <w:noWrap/>
            <w:vAlign w:val="center"/>
          </w:tcPr>
          <w:p w14:paraId="541EEAE6">
            <w:pPr>
              <w:pStyle w:val="56"/>
              <w:ind w:firstLine="420"/>
            </w:pPr>
          </w:p>
        </w:tc>
        <w:tc>
          <w:tcPr>
            <w:tcW w:w="306" w:type="dxa"/>
            <w:tcBorders>
              <w:top w:val="single" w:color="000000" w:sz="4" w:space="0"/>
              <w:left w:val="nil"/>
              <w:bottom w:val="single" w:color="000000" w:sz="4" w:space="0"/>
              <w:right w:val="single" w:color="000000" w:sz="4" w:space="0"/>
            </w:tcBorders>
            <w:noWrap/>
            <w:vAlign w:val="center"/>
          </w:tcPr>
          <w:p w14:paraId="41266B4C">
            <w:pPr>
              <w:pStyle w:val="56"/>
              <w:ind w:firstLine="420"/>
            </w:pPr>
          </w:p>
        </w:tc>
        <w:tc>
          <w:tcPr>
            <w:tcW w:w="306" w:type="dxa"/>
            <w:tcBorders>
              <w:top w:val="single" w:color="000000" w:sz="4" w:space="0"/>
              <w:left w:val="nil"/>
              <w:bottom w:val="single" w:color="000000" w:sz="4" w:space="0"/>
              <w:right w:val="single" w:color="000000" w:sz="4" w:space="0"/>
            </w:tcBorders>
            <w:noWrap/>
            <w:vAlign w:val="center"/>
          </w:tcPr>
          <w:p w14:paraId="79EF121B">
            <w:pPr>
              <w:pStyle w:val="56"/>
              <w:ind w:firstLine="420"/>
            </w:pPr>
          </w:p>
        </w:tc>
        <w:tc>
          <w:tcPr>
            <w:tcW w:w="306" w:type="dxa"/>
            <w:tcBorders>
              <w:top w:val="single" w:color="000000" w:sz="4" w:space="0"/>
              <w:left w:val="nil"/>
              <w:bottom w:val="single" w:color="000000" w:sz="4" w:space="0"/>
              <w:right w:val="single" w:color="000000" w:sz="4" w:space="0"/>
            </w:tcBorders>
            <w:noWrap/>
            <w:vAlign w:val="center"/>
          </w:tcPr>
          <w:p w14:paraId="63968B4B">
            <w:pPr>
              <w:pStyle w:val="56"/>
              <w:ind w:firstLine="420"/>
            </w:pPr>
          </w:p>
        </w:tc>
        <w:tc>
          <w:tcPr>
            <w:tcW w:w="306" w:type="dxa"/>
            <w:tcBorders>
              <w:top w:val="single" w:color="000000" w:sz="4" w:space="0"/>
              <w:left w:val="nil"/>
              <w:bottom w:val="single" w:color="000000" w:sz="4" w:space="0"/>
              <w:right w:val="single" w:color="000000" w:sz="4" w:space="0"/>
            </w:tcBorders>
            <w:noWrap/>
            <w:vAlign w:val="center"/>
          </w:tcPr>
          <w:p w14:paraId="216AB542">
            <w:pPr>
              <w:pStyle w:val="56"/>
              <w:ind w:firstLine="420"/>
            </w:pPr>
          </w:p>
        </w:tc>
        <w:tc>
          <w:tcPr>
            <w:tcW w:w="306" w:type="dxa"/>
            <w:tcBorders>
              <w:top w:val="single" w:color="000000" w:sz="4" w:space="0"/>
              <w:left w:val="nil"/>
              <w:bottom w:val="single" w:color="000000" w:sz="4" w:space="0"/>
              <w:right w:val="single" w:color="000000" w:sz="4" w:space="0"/>
            </w:tcBorders>
            <w:noWrap/>
            <w:vAlign w:val="center"/>
          </w:tcPr>
          <w:p w14:paraId="15B865DE">
            <w:pPr>
              <w:pStyle w:val="56"/>
              <w:ind w:firstLine="420"/>
            </w:pPr>
          </w:p>
        </w:tc>
        <w:tc>
          <w:tcPr>
            <w:tcW w:w="306" w:type="dxa"/>
            <w:tcBorders>
              <w:top w:val="single" w:color="000000" w:sz="4" w:space="0"/>
              <w:left w:val="nil"/>
              <w:bottom w:val="single" w:color="000000" w:sz="4" w:space="0"/>
              <w:right w:val="single" w:color="000000" w:sz="4" w:space="0"/>
            </w:tcBorders>
            <w:noWrap/>
            <w:vAlign w:val="center"/>
          </w:tcPr>
          <w:p w14:paraId="5E28B4A9">
            <w:pPr>
              <w:pStyle w:val="56"/>
              <w:ind w:firstLine="420"/>
            </w:pPr>
          </w:p>
        </w:tc>
        <w:tc>
          <w:tcPr>
            <w:tcW w:w="965" w:type="dxa"/>
            <w:tcBorders>
              <w:top w:val="single" w:color="000000" w:sz="4" w:space="0"/>
              <w:left w:val="nil"/>
              <w:bottom w:val="single" w:color="000000" w:sz="4" w:space="0"/>
              <w:right w:val="single" w:color="000000" w:sz="4" w:space="0"/>
            </w:tcBorders>
            <w:noWrap/>
            <w:vAlign w:val="center"/>
          </w:tcPr>
          <w:p w14:paraId="5AA7AE61">
            <w:pPr>
              <w:pStyle w:val="56"/>
              <w:ind w:firstLine="420"/>
            </w:pPr>
          </w:p>
        </w:tc>
        <w:tc>
          <w:tcPr>
            <w:tcW w:w="904" w:type="dxa"/>
            <w:tcBorders>
              <w:top w:val="single" w:color="000000" w:sz="4" w:space="0"/>
              <w:left w:val="nil"/>
              <w:bottom w:val="single" w:color="000000" w:sz="4" w:space="0"/>
              <w:right w:val="single" w:color="000000" w:sz="4" w:space="0"/>
            </w:tcBorders>
            <w:noWrap/>
            <w:vAlign w:val="center"/>
          </w:tcPr>
          <w:p w14:paraId="6DD9AA29">
            <w:pPr>
              <w:pStyle w:val="56"/>
              <w:ind w:firstLine="420"/>
            </w:pPr>
          </w:p>
        </w:tc>
        <w:tc>
          <w:tcPr>
            <w:tcW w:w="684" w:type="dxa"/>
            <w:tcBorders>
              <w:top w:val="single" w:color="000000" w:sz="4" w:space="0"/>
              <w:left w:val="nil"/>
              <w:bottom w:val="single" w:color="000000" w:sz="4" w:space="0"/>
              <w:right w:val="single" w:color="000000" w:sz="4" w:space="0"/>
            </w:tcBorders>
            <w:noWrap/>
            <w:vAlign w:val="center"/>
          </w:tcPr>
          <w:p w14:paraId="5261C873">
            <w:pPr>
              <w:pStyle w:val="56"/>
              <w:ind w:firstLine="420"/>
            </w:pPr>
          </w:p>
        </w:tc>
      </w:tr>
      <w:bookmarkEnd w:id="40"/>
    </w:tbl>
    <w:p w14:paraId="2294A9EB">
      <w:pPr>
        <w:pStyle w:val="56"/>
        <w:ind w:firstLine="0" w:firstLineChars="0"/>
        <w:jc w:val="center"/>
        <w:rPr>
          <w:rFonts w:hint="eastAsia"/>
        </w:rPr>
      </w:pPr>
      <w:bookmarkStart w:id="41" w:name="BookMark8"/>
      <w:r>
        <w:rPr>
          <w:rFonts w:hint="eastAsia"/>
        </w:rPr>
        <w:drawing>
          <wp:inline distT="0" distB="0" distL="0" distR="0">
            <wp:extent cx="1485900" cy="317500"/>
            <wp:effectExtent l="0" t="0" r="0" b="6350"/>
            <wp:docPr id="461364870" name="图片 3"/>
            <wp:cNvGraphicFramePr/>
            <a:graphic xmlns:a="http://schemas.openxmlformats.org/drawingml/2006/main">
              <a:graphicData uri="http://schemas.openxmlformats.org/drawingml/2006/picture">
                <pic:pic xmlns:pic="http://schemas.openxmlformats.org/drawingml/2006/picture">
                  <pic:nvPicPr>
                    <pic:cNvPr id="461364870"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2A3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D42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5BC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A3B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B03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959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D54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74C0A">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9553">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dit="forms" w:enforcement="1" w:cryptProviderType="rsaAES" w:cryptAlgorithmClass="hash" w:cryptAlgorithmType="typeAny" w:cryptAlgorithmSid="14" w:cryptSpinCount="100000" w:hash="tbzp0IvcCCxbcoIU0xqCidi7iBUE1KRIOIdo4QFRI+vZG2XespKZq9yprTzE1MshiV01mW1rrTr8emh9sf14PA==" w:salt="IBhM33H46Xg8iLd/VUZG4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TJjMTFjNzA3OWFlMzAwMWZjZWMxNmMwZDQ0YWMifQ=="/>
  </w:docVars>
  <w:rsids>
    <w:rsidRoot w:val="003B434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345"/>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A0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50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1A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B0F124A"/>
    <w:rsid w:val="405E4791"/>
    <w:rsid w:val="4B5A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8A701A0ED14E5AA50B53091C447AEF"/>
        <w:style w:val=""/>
        <w:category>
          <w:name w:val="常规"/>
          <w:gallery w:val="placeholder"/>
        </w:category>
        <w:types>
          <w:type w:val="bbPlcHdr"/>
        </w:types>
        <w:behaviors>
          <w:behavior w:val="content"/>
        </w:behaviors>
        <w:description w:val=""/>
        <w:guid w:val="{DAC49083-F2DF-4ABF-AF78-7365B8F78C17}"/>
      </w:docPartPr>
      <w:docPartBody>
        <w:p w14:paraId="051C9D69">
          <w:pPr>
            <w:pStyle w:val="5"/>
          </w:pPr>
          <w:r>
            <w:rPr>
              <w:rStyle w:val="4"/>
              <w:rFonts w:hint="eastAsia"/>
            </w:rPr>
            <w:t>单击或点击此处输入文字。</w:t>
          </w:r>
        </w:p>
      </w:docPartBody>
    </w:docPart>
    <w:docPart>
      <w:docPartPr>
        <w:name w:val="9F3AAEF5E8714FFBBE3040802C378403"/>
        <w:style w:val=""/>
        <w:category>
          <w:name w:val="常规"/>
          <w:gallery w:val="placeholder"/>
        </w:category>
        <w:types>
          <w:type w:val="bbPlcHdr"/>
        </w:types>
        <w:behaviors>
          <w:behavior w:val="content"/>
        </w:behaviors>
        <w:description w:val=""/>
        <w:guid w:val="{E922402A-722A-4937-A533-ECD4D3B66981}"/>
      </w:docPartPr>
      <w:docPartBody>
        <w:p w14:paraId="1B75101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D4"/>
    <w:rsid w:val="005D1FD4"/>
    <w:rsid w:val="00D9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F8A701A0ED14E5AA50B53091C447AE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C5540BDB3554CDF99C74513AB3F967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F3AAEF5E8714FFBBE3040802C37840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1993</Words>
  <Characters>2150</Characters>
  <Lines>246</Lines>
  <Paragraphs>221</Paragraphs>
  <TotalTime>0</TotalTime>
  <ScaleCrop>false</ScaleCrop>
  <LinksUpToDate>false</LinksUpToDate>
  <CharactersWithSpaces>2183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2024-09-19T01:20:00Z</dcterms:created>
  <dc:creator>huawei</dc:creator>
  <dc:description>&lt;config cover="true" show_menu="true" version="1.0.0" doctype="SDKXY"&gt;_x000d_
&lt;/config&gt;</dc:description>
  <cp:lastModifiedBy>张丹</cp:lastModifiedBy>
  <cp:lastPrinted>2020-08-30T10:00:00Z</cp:lastPrinted>
  <dcterms:modified xsi:type="dcterms:W3CDTF">2024-09-19T06:49:16Z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D077D5DC0BDC43CCB828574A9580CAA8_12</vt:lpwstr>
  </property>
</Properties>
</file>