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5D4F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9" w:type="dxa"/>
          </w:tcPr>
          <w:p w14:paraId="143093F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26A9DB54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65.020.20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6E78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CB16985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1D29FA6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/>
                <w:sz w:val="21"/>
                <w:szCs w:val="21"/>
              </w:rPr>
              <w:t>B16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7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4901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6407" w:type="dxa"/>
          </w:tcPr>
          <w:p w14:paraId="275D7FEE">
            <w:pPr>
              <w:pStyle w:val="49"/>
              <w:framePr w:w="0" w:hRule="auto" w:wrap="auto" w:vAnchor="margin" w:hAnchor="text" w:xAlign="left" w:yAlign="inline"/>
              <w:rPr>
                <w:rFonts w:hint="eastAsia"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 w14:paraId="5C34AC68">
      <w:pPr>
        <w:pStyle w:val="50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 w14:paraId="6BC6F941">
      <w:pPr>
        <w:pStyle w:val="195"/>
        <w:framePr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 w14:paraId="4B552CE5">
      <w:pPr>
        <w:pStyle w:val="196"/>
        <w:framePr/>
        <w:rPr>
          <w:rFonts w:hint="eastAsia"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1DA837D1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972129C">
      <w:pPr>
        <w:pStyle w:val="50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0840C1AB">
      <w:pPr>
        <w:pStyle w:val="197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农作物病虫害监测调查技术规范 第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部分 棉铃虫</w:t>
      </w:r>
      <w:r>
        <w:fldChar w:fldCharType="end"/>
      </w:r>
      <w:bookmarkEnd w:id="9"/>
    </w:p>
    <w:p w14:paraId="37526C2D">
      <w:pPr>
        <w:framePr w:w="9639" w:h="6974" w:hRule="exact" w:wrap="around" w:vAnchor="page" w:hAnchor="page" w:x="1419" w:y="6408" w:anchorLock="1"/>
        <w:ind w:left="-1418"/>
      </w:pPr>
    </w:p>
    <w:p w14:paraId="700CD6E2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>点击此处添加标准名称的英文译名</w:t>
      </w:r>
      <w:r>
        <w:rPr>
          <w:rFonts w:eastAsia="黑体"/>
          <w:szCs w:val="28"/>
        </w:rPr>
        <w:fldChar w:fldCharType="end"/>
      </w:r>
      <w:bookmarkEnd w:id="10"/>
    </w:p>
    <w:p w14:paraId="379C8274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0A457AC7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2683E795"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2D57F6F4"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22A9AE7B"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result w:val="1"/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6297753B">
      <w:pPr>
        <w:pStyle w:val="193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67793C63">
      <w:pPr>
        <w:pStyle w:val="194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310E87A5">
      <w:pPr>
        <w:pStyle w:val="151"/>
        <w:framePr w:h="584" w:hRule="exact" w:hSpace="181" w:vSpace="181" w:wrap="around" w:y="15027"/>
        <w:rPr>
          <w:rFonts w:hint="eastAsia"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 w14:paraId="3DCE5BB0">
      <w:pPr>
        <w:rPr>
          <w:rFonts w:hint="eastAsia"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FC23256">
      <w:pPr>
        <w:pStyle w:val="89"/>
        <w:spacing w:after="468"/>
      </w:pPr>
      <w:bookmarkStart w:id="21" w:name="BookMark2"/>
      <w:r>
        <w:rPr>
          <w:rFonts w:hint="eastAsia"/>
          <w:spacing w:val="320"/>
        </w:rPr>
        <w:t>前</w:t>
      </w:r>
      <w:r>
        <w:rPr>
          <w:rFonts w:hint="eastAsia"/>
        </w:rPr>
        <w:t>言</w:t>
      </w:r>
    </w:p>
    <w:p w14:paraId="581216A9">
      <w:pPr>
        <w:pStyle w:val="56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22BCDA1B">
      <w:pPr>
        <w:pStyle w:val="56"/>
        <w:ind w:firstLine="420"/>
      </w:pPr>
      <w:bookmarkStart w:id="42" w:name="_GoBack"/>
      <w:r>
        <w:rPr>
          <w:rFonts w:hint="eastAsia"/>
        </w:rPr>
        <w:t>《农作物病虫害监测调查技术规范》计划发布以下部分</w:t>
      </w:r>
    </w:p>
    <w:p w14:paraId="1B33A5BF">
      <w:pPr>
        <w:pStyle w:val="56"/>
        <w:ind w:firstLine="420"/>
        <w:rPr>
          <w:rFonts w:hint="eastAsia"/>
        </w:rPr>
      </w:pPr>
      <w:r>
        <w:rPr>
          <w:rFonts w:hint="eastAsia"/>
        </w:rPr>
        <w:t>—第1部分  总则</w:t>
      </w:r>
    </w:p>
    <w:p w14:paraId="2C540EC2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部分：玉米大斑病</w:t>
      </w:r>
    </w:p>
    <w:p w14:paraId="6F5C539D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部分：玉米螟</w:t>
      </w:r>
    </w:p>
    <w:p w14:paraId="6D8EDEC0">
      <w:pPr>
        <w:pStyle w:val="56"/>
        <w:ind w:firstLine="420"/>
      </w:pPr>
      <w:r>
        <w:rPr>
          <w:rFonts w:hint="eastAsia"/>
        </w:rPr>
        <w:t>--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部分：稻瘟病</w:t>
      </w:r>
    </w:p>
    <w:p w14:paraId="2B02135D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部分：二化螟</w:t>
      </w:r>
    </w:p>
    <w:p w14:paraId="4E3B7E79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部分：花生叶斑病</w:t>
      </w:r>
    </w:p>
    <w:p w14:paraId="6A889684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部分：粘虫</w:t>
      </w:r>
    </w:p>
    <w:p w14:paraId="470F4EAD">
      <w:pPr>
        <w:pStyle w:val="56"/>
        <w:ind w:firstLine="420"/>
        <w:rPr>
          <w:rFonts w:hint="eastAsia"/>
          <w:lang w:val="en-US" w:eastAsia="zh-CN"/>
        </w:rPr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部分：</w:t>
      </w:r>
      <w:r>
        <w:rPr>
          <w:rFonts w:hint="eastAsia"/>
          <w:lang w:val="en-US" w:eastAsia="zh-CN"/>
        </w:rPr>
        <w:t>棉铃虫</w:t>
      </w:r>
    </w:p>
    <w:p w14:paraId="15A53DFE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部分：灰飞虱</w:t>
      </w:r>
    </w:p>
    <w:p w14:paraId="7E5A32F0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部分：水稻纹枯病</w:t>
      </w:r>
    </w:p>
    <w:p w14:paraId="053B7E0B">
      <w:pPr>
        <w:pStyle w:val="56"/>
        <w:ind w:firstLine="420"/>
      </w:pPr>
      <w:r>
        <w:rPr>
          <w:rFonts w:hint="eastAsia"/>
        </w:rPr>
        <w:t>--第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部分：马铃薯晚疫病</w:t>
      </w:r>
    </w:p>
    <w:p w14:paraId="35672E95">
      <w:pPr>
        <w:pStyle w:val="56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部分：</w:t>
      </w:r>
      <w:r>
        <w:rPr>
          <w:rFonts w:hint="eastAsia"/>
          <w:lang w:val="en-US" w:eastAsia="zh-CN"/>
        </w:rPr>
        <w:t>地下害虫</w:t>
      </w:r>
    </w:p>
    <w:p w14:paraId="211DE925">
      <w:pPr>
        <w:pStyle w:val="56"/>
        <w:ind w:firstLine="420"/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部分：番茄潜叶蛾</w:t>
      </w:r>
    </w:p>
    <w:p w14:paraId="3557528D">
      <w:pPr>
        <w:pStyle w:val="56"/>
        <w:ind w:firstLine="420"/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部分：甜菜夜蛾</w:t>
      </w:r>
    </w:p>
    <w:p w14:paraId="631F3033">
      <w:pPr>
        <w:pStyle w:val="56"/>
        <w:ind w:firstLine="420"/>
        <w:rPr>
          <w:rFonts w:hint="eastAsia"/>
        </w:rPr>
      </w:pPr>
      <w:r>
        <w:rPr>
          <w:rFonts w:hint="eastAsia"/>
        </w:rPr>
        <w:t>—第1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部分：玉米白斑病</w:t>
      </w:r>
    </w:p>
    <w:p w14:paraId="130115F1">
      <w:pPr>
        <w:pStyle w:val="56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bookmarkEnd w:id="42"/>
    <w:p w14:paraId="606D7A8B">
      <w:pPr>
        <w:pStyle w:val="56"/>
        <w:ind w:firstLine="420"/>
      </w:pPr>
      <w:r>
        <w:rPr>
          <w:rFonts w:hint="eastAsia"/>
        </w:rPr>
        <w:t>本文件是《农作物病虫害监测调查技术规范》的第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部分。</w:t>
      </w:r>
    </w:p>
    <w:p w14:paraId="630315D6">
      <w:pPr>
        <w:pStyle w:val="56"/>
        <w:ind w:firstLine="420"/>
      </w:pPr>
      <w:r>
        <w:rPr>
          <w:rFonts w:hint="eastAsia"/>
        </w:rPr>
        <w:t>请注意本文件的某些内容可能涉及专利。本文件的发布机构不承担识别专利的责任</w:t>
      </w:r>
    </w:p>
    <w:p w14:paraId="0869AFCD">
      <w:pPr>
        <w:pStyle w:val="56"/>
        <w:ind w:firstLine="420"/>
      </w:pPr>
      <w:r>
        <w:rPr>
          <w:rFonts w:hint="eastAsia"/>
        </w:rPr>
        <w:t>本文件由辽宁省农业农村厅提出并归口</w:t>
      </w:r>
    </w:p>
    <w:p w14:paraId="598A0504">
      <w:pPr>
        <w:pStyle w:val="56"/>
        <w:ind w:firstLine="420"/>
      </w:pPr>
      <w:r>
        <w:rPr>
          <w:rFonts w:hint="eastAsia"/>
        </w:rPr>
        <w:t>本文件起草单位：辽宁省植保植检总站。</w:t>
      </w:r>
    </w:p>
    <w:p w14:paraId="1EEF577A">
      <w:pPr>
        <w:pStyle w:val="56"/>
        <w:ind w:firstLine="420"/>
      </w:pPr>
      <w:r>
        <w:rPr>
          <w:rFonts w:hint="eastAsia"/>
        </w:rPr>
        <w:t>本文件主要起草人：张丹、张万民、孟威、屈丽莉、李眷、宋露。</w:t>
      </w:r>
    </w:p>
    <w:p w14:paraId="5EFBA1CF">
      <w:pPr>
        <w:pStyle w:val="56"/>
        <w:ind w:firstLine="420"/>
      </w:pPr>
      <w:r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767B6EC4">
      <w:pPr>
        <w:pStyle w:val="56"/>
        <w:ind w:firstLine="420"/>
      </w:pPr>
      <w:r>
        <w:rPr>
          <w:rFonts w:hint="eastAsia"/>
        </w:rPr>
        <w:t>归口管理部门通讯地址：辽宁省农业农村厅（沈阳市和平区太原北街2号），联系电话：024-23447862。</w:t>
      </w:r>
    </w:p>
    <w:p w14:paraId="78555CF8">
      <w:pPr>
        <w:pStyle w:val="56"/>
        <w:ind w:firstLine="420"/>
      </w:pPr>
      <w:r>
        <w:rPr>
          <w:rFonts w:hint="eastAsia"/>
        </w:rPr>
        <w:t>文件起草单位通讯地址：辽宁省植保植检总站（沈阳市长江北街39号），联系电话：024-86121771。</w:t>
      </w:r>
    </w:p>
    <w:p w14:paraId="7DDC9B63">
      <w:pPr>
        <w:pStyle w:val="56"/>
        <w:ind w:firstLine="420"/>
      </w:pPr>
    </w:p>
    <w:p w14:paraId="13422A91">
      <w:pPr>
        <w:pStyle w:val="56"/>
        <w:ind w:firstLine="420"/>
      </w:pPr>
    </w:p>
    <w:p w14:paraId="4C00A9B2">
      <w:pPr>
        <w:pStyle w:val="56"/>
        <w:ind w:firstLine="420"/>
        <w:sectPr>
          <w:headerReference r:id="rId11" w:type="default"/>
          <w:footerReference r:id="rId13" w:type="default"/>
          <w:headerReference r:id="rId12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</w:p>
    <w:bookmarkEnd w:id="21"/>
    <w:p w14:paraId="601A22A2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22" w:name="BookMark4"/>
    </w:p>
    <w:p w14:paraId="65AF8614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45BFEA4BBDC8477081AD11502BA51C3C"/>
        </w:placeholder>
      </w:sdtPr>
      <w:sdtContent>
        <w:p w14:paraId="19B79651">
          <w:pPr>
            <w:pStyle w:val="177"/>
            <w:spacing w:before="3" w:beforeLines="1" w:after="686" w:afterLines="220"/>
            <w:rPr>
              <w:rFonts w:hint="eastAsia"/>
            </w:rPr>
          </w:pPr>
          <w:bookmarkStart w:id="23" w:name="NEW_STAND_NAME"/>
          <w:r>
            <w:rPr>
              <w:rFonts w:hint="eastAsia"/>
            </w:rPr>
            <w:t>农作物病虫害监测调查技术规范 第</w:t>
          </w:r>
          <w:r>
            <w:rPr>
              <w:rFonts w:hint="eastAsia"/>
              <w:lang w:val="en-US" w:eastAsia="zh-CN"/>
            </w:rPr>
            <w:t>8</w:t>
          </w:r>
          <w:r>
            <w:rPr>
              <w:rFonts w:hint="eastAsia"/>
            </w:rPr>
            <w:t>部分 棉铃虫</w:t>
          </w:r>
        </w:p>
      </w:sdtContent>
    </w:sdt>
    <w:bookmarkEnd w:id="23"/>
    <w:p w14:paraId="330E6E3A">
      <w:pPr>
        <w:pStyle w:val="104"/>
        <w:spacing w:before="312" w:after="312"/>
      </w:pPr>
      <w:bookmarkStart w:id="24" w:name="_Toc24884218"/>
      <w:bookmarkStart w:id="25" w:name="_Toc97191423"/>
      <w:bookmarkStart w:id="26" w:name="_Toc26718930"/>
      <w:bookmarkStart w:id="27" w:name="_Toc26986530"/>
      <w:bookmarkStart w:id="28" w:name="_Toc26648465"/>
      <w:bookmarkStart w:id="29" w:name="_Toc17233325"/>
      <w:bookmarkStart w:id="30" w:name="_Toc26986771"/>
      <w:bookmarkStart w:id="31" w:name="_Toc24884211"/>
      <w:bookmarkStart w:id="32" w:name="_Toc17233333"/>
      <w:r>
        <w:rPr>
          <w:rFonts w:hint="eastAsia"/>
        </w:rPr>
        <w:t>范围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BA787E1">
      <w:pPr>
        <w:pStyle w:val="56"/>
        <w:ind w:firstLine="420"/>
      </w:pPr>
      <w:bookmarkStart w:id="33" w:name="_Toc24884212"/>
      <w:bookmarkStart w:id="34" w:name="_Toc17233326"/>
      <w:bookmarkStart w:id="35" w:name="_Toc17233334"/>
      <w:bookmarkStart w:id="36" w:name="_Toc24884219"/>
      <w:bookmarkStart w:id="37" w:name="_Toc26648466"/>
      <w:r>
        <w:rPr>
          <w:rFonts w:hint="eastAsia"/>
        </w:rPr>
        <w:t>本文件规定了术语和定义、棉铃虫发生程度分级指标、成虫诱测、系统调查、大田普查、预测方法以及数据收集和传输等内容。</w:t>
      </w:r>
    </w:p>
    <w:p w14:paraId="75149049">
      <w:pPr>
        <w:pStyle w:val="56"/>
        <w:ind w:firstLine="420"/>
      </w:pPr>
      <w:r>
        <w:rPr>
          <w:rFonts w:hint="eastAsia"/>
        </w:rPr>
        <w:t>本文件适用于棉铃虫监测调查。</w:t>
      </w:r>
    </w:p>
    <w:bookmarkEnd w:id="33"/>
    <w:bookmarkEnd w:id="34"/>
    <w:bookmarkEnd w:id="35"/>
    <w:bookmarkEnd w:id="36"/>
    <w:bookmarkEnd w:id="37"/>
    <w:p w14:paraId="30F040A6">
      <w:pPr>
        <w:pStyle w:val="104"/>
        <w:spacing w:before="312" w:after="312"/>
      </w:pPr>
      <w:bookmarkStart w:id="38" w:name="_Toc97191425"/>
      <w:r>
        <w:rPr>
          <w:rFonts w:hint="eastAsia"/>
          <w:szCs w:val="21"/>
        </w:rPr>
        <w:t>术语和定义</w:t>
      </w:r>
      <w:bookmarkEnd w:id="38"/>
    </w:p>
    <w:sdt>
      <w:sdtPr>
        <w:id w:val="-1909835108"/>
        <w:placeholder>
          <w:docPart w:val="F9A91684A9624587B16BC73BE3CB7293"/>
        </w:placeholder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Content>
        <w:p w14:paraId="0BECEB29">
          <w:pPr>
            <w:pStyle w:val="56"/>
            <w:ind w:firstLine="420"/>
          </w:pPr>
          <w:bookmarkStart w:id="39" w:name="_Toc26986532"/>
          <w:bookmarkEnd w:id="39"/>
          <w:r>
            <w:t>……界定的术语和定义适用于本文件。</w:t>
          </w:r>
        </w:p>
      </w:sdtContent>
    </w:sdt>
    <w:p w14:paraId="1B0648FB">
      <w:pPr>
        <w:pStyle w:val="104"/>
        <w:spacing w:before="312" w:after="312"/>
      </w:pPr>
      <w:r>
        <w:rPr>
          <w:rFonts w:hint="eastAsia"/>
        </w:rPr>
        <w:t>发生程度分级指标</w:t>
      </w:r>
    </w:p>
    <w:p w14:paraId="5B2A8ACA">
      <w:pPr>
        <w:pStyle w:val="56"/>
        <w:ind w:firstLine="420"/>
      </w:pPr>
      <w:r>
        <w:rPr>
          <w:rFonts w:hint="eastAsia"/>
        </w:rPr>
        <w:t>棉铃虫发生程度分为5级，分别为轻发生（1级）、偏轻发生（2级）、中等发生（3级）、偏重发生（4级）、大发生（5级），以主害代普查的虫口密度为主要指标、被害株率和发生面积比率为参考指标，具体指标见表1.</w:t>
      </w:r>
    </w:p>
    <w:p w14:paraId="0A1B5DC6">
      <w:pPr>
        <w:pStyle w:val="56"/>
        <w:ind w:firstLine="422"/>
        <w:jc w:val="center"/>
        <w:rPr>
          <w:b/>
          <w:bCs/>
        </w:rPr>
      </w:pPr>
      <w:r>
        <w:rPr>
          <w:rFonts w:hint="eastAsia"/>
          <w:b/>
          <w:bCs/>
        </w:rPr>
        <w:t>表1  棉铃虫发生程度分级指标</w:t>
      </w:r>
    </w:p>
    <w:tbl>
      <w:tblPr>
        <w:tblStyle w:val="26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556"/>
        <w:gridCol w:w="1554"/>
        <w:gridCol w:w="1534"/>
        <w:gridCol w:w="2116"/>
      </w:tblGrid>
      <w:tr w14:paraId="4A6C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9281B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虫口密度指标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46FF8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花生（头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/m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3866F8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玉米、高粱（头/百株）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304D2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参考指标：发生面积比率（%）</w:t>
            </w:r>
          </w:p>
        </w:tc>
      </w:tr>
      <w:tr w14:paraId="6418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B1A9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179CA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二至三代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9E23F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二代</w:t>
            </w:r>
          </w:p>
          <w:p w14:paraId="137956A4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（苗期）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D9D8F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三代</w:t>
            </w:r>
          </w:p>
          <w:p w14:paraId="0C923179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（成株期）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9D1C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 w14:paraId="0EC7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9AACB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轻发生（1级）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9E15F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0.1～5.0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7D91E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1.0～5.0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14B69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1.0～10.0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CA32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＜5</w:t>
            </w:r>
          </w:p>
        </w:tc>
      </w:tr>
      <w:tr w14:paraId="74A8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8427B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偏轻发生（2级）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2753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5.1～10.0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6F4D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5.1～10.0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A8FC7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10.1～30.0</w:t>
            </w:r>
            <w:r>
              <w:rPr>
                <w:rFonts w:hint="eastAsia" w:ascii="宋体" w:hAnsi="宋体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7E9C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＞5</w:t>
            </w:r>
          </w:p>
        </w:tc>
      </w:tr>
      <w:tr w14:paraId="6AC8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1F8F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中等发生（3级）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59B6D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10.1～30.0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85C6C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10.1～25.0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E5B13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30.1～50.0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8B874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＞10</w:t>
            </w:r>
          </w:p>
        </w:tc>
      </w:tr>
      <w:tr w14:paraId="242A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4A69D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偏重发生（4级）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9B3F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30.1～50.0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87AEE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25.1～50.0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0DB65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50.1～80.0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D90DA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＞20</w:t>
            </w:r>
          </w:p>
        </w:tc>
      </w:tr>
      <w:tr w14:paraId="77A7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9E0E5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大发生（5级）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573A7">
            <w:pPr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＞50.0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2ABED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＞50.0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A9045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＞80.0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D7392">
            <w:pPr>
              <w:widowControl/>
              <w:autoSpaceDE w:val="0"/>
              <w:spacing w:line="240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＞30</w:t>
            </w:r>
          </w:p>
        </w:tc>
      </w:tr>
    </w:tbl>
    <w:p w14:paraId="6D0C6A7D">
      <w:pPr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注：其他作物或其他发生代次发生程度参考以上分级指标。</w:t>
      </w:r>
    </w:p>
    <w:p w14:paraId="105E3C1E">
      <w:pPr>
        <w:pStyle w:val="104"/>
        <w:spacing w:before="312" w:after="312"/>
      </w:pPr>
      <w:r>
        <w:rPr>
          <w:rFonts w:hint="eastAsia"/>
        </w:rPr>
        <w:t>成虫诱测</w:t>
      </w:r>
    </w:p>
    <w:p w14:paraId="0A35045F">
      <w:pPr>
        <w:pStyle w:val="105"/>
        <w:spacing w:before="156" w:after="156"/>
      </w:pPr>
      <w:r>
        <w:rPr>
          <w:rFonts w:hint="eastAsia"/>
        </w:rPr>
        <w:t>灯光诱测</w:t>
      </w:r>
    </w:p>
    <w:p w14:paraId="2EF57034">
      <w:pPr>
        <w:pStyle w:val="56"/>
        <w:ind w:firstLine="420"/>
      </w:pPr>
      <w:r>
        <w:rPr>
          <w:rFonts w:hint="eastAsia"/>
        </w:rPr>
        <w:t>从5月15日开始，9月底结束。在玉米田及其周边、常年适于成虫发生的场所，设置1台多功能自动虫情测报灯（或20瓦黑光灯），灯具周围100m范围内无高大建筑物和树木遮挡，且远离路灯等强照明光源，灯管下端与地表面垂直距离为1.5m，每年更换一次灯管。每日检查记载雌蛾、雄蛾数量，结果记入棉铃虫成虫调查表(见附录A表A.1)。</w:t>
      </w:r>
    </w:p>
    <w:p w14:paraId="18DE3D81">
      <w:pPr>
        <w:pStyle w:val="56"/>
        <w:ind w:firstLine="420"/>
      </w:pPr>
    </w:p>
    <w:p w14:paraId="62931A60">
      <w:pPr>
        <w:pStyle w:val="105"/>
        <w:spacing w:before="156" w:after="156"/>
      </w:pPr>
      <w:r>
        <w:rPr>
          <w:rFonts w:hint="eastAsia"/>
        </w:rPr>
        <w:t>性诱技术</w:t>
      </w:r>
    </w:p>
    <w:p w14:paraId="24B684C8">
      <w:pPr>
        <w:pStyle w:val="56"/>
        <w:ind w:firstLine="420"/>
      </w:pPr>
      <w:r>
        <w:rPr>
          <w:rFonts w:hint="eastAsia"/>
        </w:rPr>
        <w:t>从6月10日-9月30日。利用钟罩倒置漏斗式（螟蛾类）诱捕器进行诱集，诱捕器应放置于方便操作的、走向与当地季风风向垂直的田埂上，放置3个诱捕器，呈一线式排列，相距至少50m，诱捕器与田边相距1m左右，诱捕器高度离地面约1m。每使用30天更换1次。</w:t>
      </w:r>
    </w:p>
    <w:p w14:paraId="20EA43B3">
      <w:pPr>
        <w:pStyle w:val="56"/>
        <w:ind w:firstLine="420"/>
      </w:pPr>
      <w:r>
        <w:rPr>
          <w:rFonts w:hint="eastAsia"/>
        </w:rPr>
        <w:t>每日早晨检查记载诱到的雄蛾数量，调查结果记入棉铃虫成虫调查表(见附录A表A.1)。</w:t>
      </w:r>
    </w:p>
    <w:p w14:paraId="230CB759">
      <w:pPr>
        <w:pStyle w:val="104"/>
        <w:spacing w:before="312" w:after="312"/>
      </w:pPr>
      <w:r>
        <w:rPr>
          <w:rFonts w:hint="eastAsia"/>
        </w:rPr>
        <w:t>卵量调查</w:t>
      </w:r>
    </w:p>
    <w:p w14:paraId="68DAC5EB">
      <w:pPr>
        <w:pStyle w:val="105"/>
        <w:spacing w:before="156" w:after="156"/>
      </w:pPr>
      <w:r>
        <w:rPr>
          <w:rFonts w:hint="eastAsia"/>
        </w:rPr>
        <w:t>卵量调查</w:t>
      </w:r>
    </w:p>
    <w:p w14:paraId="01867EEB">
      <w:pPr>
        <w:pStyle w:val="56"/>
        <w:ind w:firstLine="420"/>
      </w:pPr>
      <w:r>
        <w:rPr>
          <w:rFonts w:hint="eastAsia"/>
        </w:rPr>
        <w:t>根据成虫常年发生时间和当年诱测结果，在成虫发生盛期调查。每3天调查一次，上午调查。选择蔬菜田、花生田等低矮作物及周围长势好的玉米田，面积不小于2000m2。</w:t>
      </w:r>
    </w:p>
    <w:p w14:paraId="677C9724">
      <w:pPr>
        <w:pStyle w:val="56"/>
        <w:ind w:firstLine="420"/>
      </w:pPr>
      <w:r>
        <w:rPr>
          <w:rFonts w:hint="eastAsia"/>
        </w:rPr>
        <w:t>田块按5点取样，每点固定调查20株。抽雄吐丝期，主要调查雄穗、新鲜的雌穗花丝，卵量相对较少的叶片正面和叶鞘部位可酌情调查；抽雄吐丝后，主要调查雌穗花丝。调查结果记入棉铃虫卵量调查记载表(见附录A表A.2)。</w:t>
      </w:r>
    </w:p>
    <w:p w14:paraId="56288B73">
      <w:pPr>
        <w:pStyle w:val="104"/>
        <w:spacing w:before="312" w:after="312"/>
      </w:pPr>
      <w:r>
        <w:rPr>
          <w:rFonts w:hint="eastAsia"/>
        </w:rPr>
        <w:t>幼虫调查</w:t>
      </w:r>
    </w:p>
    <w:p w14:paraId="0EE20C56">
      <w:pPr>
        <w:pStyle w:val="105"/>
        <w:spacing w:before="156" w:after="156"/>
      </w:pPr>
      <w:r>
        <w:rPr>
          <w:rFonts w:hint="eastAsia"/>
        </w:rPr>
        <w:t>幼虫系统调查</w:t>
      </w:r>
    </w:p>
    <w:p w14:paraId="35462D27">
      <w:pPr>
        <w:pStyle w:val="56"/>
        <w:ind w:firstLine="420"/>
      </w:pPr>
      <w:r>
        <w:rPr>
          <w:rFonts w:hint="eastAsia"/>
        </w:rPr>
        <w:t>在各代卵始盛期开始调查，至大部分幼虫进入5龄、6龄止。每5天调查一次。在卵系统调查田块进行。每块田5点取样，每点固定20株，调查各龄期虫量。玉米抽雄吐丝期至籽粒灌浆期，调查玉米雌穗顶端幼嫩籽粒和花丝部位。调查结果记入棉铃虫幼虫调查记载表（见附录A表A.3）。</w:t>
      </w:r>
    </w:p>
    <w:p w14:paraId="57A118EF">
      <w:pPr>
        <w:pStyle w:val="105"/>
        <w:spacing w:before="156" w:after="156"/>
      </w:pPr>
      <w:r>
        <w:rPr>
          <w:rFonts w:hint="eastAsia"/>
        </w:rPr>
        <w:t>幼虫普查</w:t>
      </w:r>
    </w:p>
    <w:p w14:paraId="70CA0C8D">
      <w:pPr>
        <w:pStyle w:val="56"/>
        <w:ind w:firstLine="420"/>
      </w:pPr>
      <w:r>
        <w:rPr>
          <w:rFonts w:hint="eastAsia"/>
        </w:rPr>
        <w:t>根据系统调查结果，在幼虫4龄-5龄高峰期进行。每个县选择玉米、高粱、花生、大豆和蔬菜种植面积大的3个乡镇，每个乡镇3个村，每个村按品种、茬口和长势等各类型田选择有代表性的3块田。每块田对角线5点取样，每点5株，主要调查玉米雌穗顶端幼嫩籽粒和花丝部位，将结果记录附表A表.4。</w:t>
      </w:r>
    </w:p>
    <w:p w14:paraId="6A8FFED0">
      <w:pPr>
        <w:pStyle w:val="104"/>
        <w:spacing w:before="312" w:after="312"/>
      </w:pPr>
      <w:r>
        <w:rPr>
          <w:rFonts w:hint="eastAsia"/>
        </w:rPr>
        <w:t>调查数据记载、汇总、上报与保存</w:t>
      </w:r>
    </w:p>
    <w:p w14:paraId="78D80742">
      <w:pPr>
        <w:pStyle w:val="56"/>
        <w:ind w:firstLine="420"/>
      </w:pPr>
      <w:r>
        <w:rPr>
          <w:rFonts w:hint="eastAsia"/>
        </w:rPr>
        <w:t>每次调查结束后，按照统一格式、时间和内容记载汇总，通过互联网传输等方式上报上级，年末将测报资料进行整理保存。</w:t>
      </w:r>
    </w:p>
    <w:p w14:paraId="7FFB88BC">
      <w:pPr>
        <w:pStyle w:val="104"/>
        <w:spacing w:before="312" w:after="312"/>
      </w:pPr>
      <w:r>
        <w:rPr>
          <w:rFonts w:hint="eastAsia"/>
        </w:rPr>
        <w:t>预测方法</w:t>
      </w:r>
    </w:p>
    <w:p w14:paraId="5A385B5A">
      <w:pPr>
        <w:pStyle w:val="105"/>
        <w:spacing w:before="156" w:after="156"/>
      </w:pPr>
      <w:r>
        <w:rPr>
          <w:rFonts w:hint="eastAsia"/>
        </w:rPr>
        <w:t>发生期预测</w:t>
      </w:r>
    </w:p>
    <w:p w14:paraId="7F84C3D0">
      <w:pPr>
        <w:pStyle w:val="65"/>
        <w:spacing w:before="156" w:after="156"/>
      </w:pPr>
      <w:r>
        <w:rPr>
          <w:rFonts w:hint="eastAsia"/>
        </w:rPr>
        <w:t>期距法</w:t>
      </w:r>
    </w:p>
    <w:p w14:paraId="4E2AE6BC">
      <w:pPr>
        <w:pStyle w:val="56"/>
        <w:ind w:firstLine="420"/>
      </w:pPr>
      <w:r>
        <w:rPr>
          <w:rFonts w:hint="eastAsia"/>
        </w:rPr>
        <w:t>依据各代成虫的始盛期、高峰期，按各地虫态发育历期（棉铃虫各虫态发育历期见表2），推算卵、幼虫发生为害的始盛期、高峰期，做出发生期预测。</w:t>
      </w:r>
    </w:p>
    <w:p w14:paraId="614BDFE0">
      <w:pPr>
        <w:jc w:val="center"/>
        <w:rPr>
          <w:rFonts w:ascii="Times New Roman" w:hAnsi="Times New Roman"/>
          <w:b/>
        </w:rPr>
      </w:pPr>
      <w:r>
        <w:rPr>
          <w:rFonts w:hint="eastAsia" w:ascii="宋体" w:hAnsi="宋体"/>
          <w:b/>
        </w:rPr>
        <w:t>表2</w:t>
      </w:r>
      <w:r>
        <w:rPr>
          <w:b/>
        </w:rPr>
        <w:t xml:space="preserve"> </w:t>
      </w:r>
      <w:r>
        <w:rPr>
          <w:rFonts w:hint="eastAsia" w:ascii="宋体" w:hAnsi="宋体"/>
          <w:b/>
        </w:rPr>
        <w:t>不同温度下棉铃虫各虫态发育历期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66"/>
        <w:gridCol w:w="1417"/>
        <w:gridCol w:w="1418"/>
        <w:gridCol w:w="1417"/>
        <w:gridCol w:w="1418"/>
        <w:gridCol w:w="1326"/>
      </w:tblGrid>
      <w:tr w14:paraId="6C5D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7197">
            <w:pPr>
              <w:jc w:val="center"/>
            </w:pPr>
            <w:r>
              <w:rPr>
                <w:rFonts w:hint="eastAsia" w:ascii="宋体" w:hAnsi="宋体"/>
              </w:rPr>
              <w:t>温</w:t>
            </w:r>
            <w: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A76D6">
            <w:pPr>
              <w:jc w:val="center"/>
            </w:pPr>
            <w:r>
              <w:rPr>
                <w:rFonts w:cs="Calibri"/>
              </w:rPr>
              <w:t>15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DC66F">
            <w:pPr>
              <w:jc w:val="center"/>
            </w:pPr>
            <w:r>
              <w:rPr>
                <w:rFonts w:cs="Calibri"/>
              </w:rPr>
              <w:t>20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2703C">
            <w:pPr>
              <w:jc w:val="center"/>
            </w:pPr>
            <w:r>
              <w:rPr>
                <w:rFonts w:cs="Calibri"/>
              </w:rPr>
              <w:t>25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87475">
            <w:pPr>
              <w:jc w:val="center"/>
            </w:pPr>
            <w:r>
              <w:rPr>
                <w:rFonts w:cs="Calibri"/>
              </w:rPr>
              <w:t>30</w:t>
            </w:r>
            <w:r>
              <w:rPr>
                <w:rFonts w:hint="eastAsia" w:ascii="宋体" w:hAnsi="宋体"/>
              </w:rPr>
              <w:t>℃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86AFF">
            <w:pPr>
              <w:jc w:val="center"/>
            </w:pPr>
            <w:r>
              <w:rPr>
                <w:rFonts w:cs="Calibri"/>
              </w:rPr>
              <w:t>35</w:t>
            </w:r>
            <w:r>
              <w:rPr>
                <w:rFonts w:hint="eastAsia" w:ascii="宋体" w:hAnsi="宋体"/>
              </w:rPr>
              <w:t>℃</w:t>
            </w:r>
          </w:p>
        </w:tc>
      </w:tr>
      <w:tr w14:paraId="12C5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05E0">
            <w:pPr>
              <w:jc w:val="center"/>
            </w:pPr>
            <w:r>
              <w:rPr>
                <w:rFonts w:hint="eastAsia" w:ascii="宋体" w:hAnsi="宋体"/>
              </w:rPr>
              <w:t>卵</w:t>
            </w:r>
            <w: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hint="eastAsia" w:ascii="宋体" w:hAnsi="宋体"/>
              </w:rPr>
              <w:t>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6414F">
            <w:pPr>
              <w:jc w:val="center"/>
            </w:pPr>
            <w:r>
              <w:rPr>
                <w:rFonts w:cs="Calibri"/>
              </w:rPr>
              <w:t>8.86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452DC">
            <w:pPr>
              <w:jc w:val="center"/>
            </w:pPr>
            <w:r>
              <w:rPr>
                <w:rFonts w:cs="Calibri"/>
              </w:rPr>
              <w:t>5.46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8F9F">
            <w:pPr>
              <w:jc w:val="center"/>
            </w:pPr>
            <w:r>
              <w:rPr>
                <w:rFonts w:cs="Calibri"/>
              </w:rPr>
              <w:t>3.34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1AE76">
            <w:pPr>
              <w:jc w:val="center"/>
            </w:pPr>
            <w:r>
              <w:rPr>
                <w:rFonts w:cs="Calibri"/>
              </w:rPr>
              <w:t>2.24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CDB2">
            <w:pPr>
              <w:jc w:val="center"/>
            </w:pPr>
            <w:r>
              <w:rPr>
                <w:rFonts w:cs="Calibri"/>
              </w:rPr>
              <w:t>2.11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0.02</w:t>
            </w:r>
          </w:p>
        </w:tc>
      </w:tr>
      <w:tr w14:paraId="14C9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A41F">
            <w:pPr>
              <w:jc w:val="center"/>
            </w:pPr>
            <w:r>
              <w:rPr>
                <w:rFonts w:hint="eastAsia" w:ascii="宋体" w:hAnsi="宋体"/>
              </w:rPr>
              <w:t>幼虫期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205B0">
            <w:pPr>
              <w:jc w:val="center"/>
            </w:pPr>
            <w:r>
              <w:rPr>
                <w:rFonts w:cs="Calibri"/>
              </w:rPr>
              <w:t>48.18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0.37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11545">
            <w:pPr>
              <w:jc w:val="center"/>
            </w:pPr>
            <w:r>
              <w:rPr>
                <w:rFonts w:cs="Calibri"/>
              </w:rPr>
              <w:t>22.29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0.19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9B3DC">
            <w:pPr>
              <w:jc w:val="center"/>
            </w:pPr>
            <w:r>
              <w:rPr>
                <w:rFonts w:cs="Calibri"/>
              </w:rPr>
              <w:t>17.67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5D6CF">
            <w:pPr>
              <w:jc w:val="center"/>
            </w:pPr>
            <w:r>
              <w:rPr>
                <w:rFonts w:cs="Calibri"/>
              </w:rPr>
              <w:t>12.67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EC5E0">
            <w:pPr>
              <w:jc w:val="center"/>
            </w:pPr>
            <w:r>
              <w:rPr>
                <w:rFonts w:cs="Calibri"/>
              </w:rPr>
              <w:t>11.12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0.10</w:t>
            </w:r>
          </w:p>
        </w:tc>
      </w:tr>
      <w:tr w14:paraId="1D5B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AA24">
            <w:pPr>
              <w:jc w:val="center"/>
            </w:pPr>
            <w:r>
              <w:rPr>
                <w:rFonts w:hint="eastAsia" w:ascii="宋体" w:hAnsi="宋体"/>
              </w:rPr>
              <w:t>蛹期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ADB4E">
            <w:pPr>
              <w:jc w:val="center"/>
            </w:pPr>
            <w:r>
              <w:rPr>
                <w:rFonts w:hint="eastAsia" w:ascii="宋体" w:hAnsi="宋体"/>
              </w:rPr>
              <w:t>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C09F8">
            <w:pPr>
              <w:jc w:val="center"/>
            </w:pPr>
            <w:r>
              <w:rPr>
                <w:rFonts w:cs="Calibri"/>
              </w:rPr>
              <w:t>62.27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1.24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1F46">
            <w:pPr>
              <w:jc w:val="center"/>
            </w:pPr>
            <w:r>
              <w:rPr>
                <w:rFonts w:cs="Calibri"/>
              </w:rPr>
              <w:t>27.70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0.49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79267">
            <w:pPr>
              <w:jc w:val="center"/>
            </w:pPr>
            <w:r>
              <w:rPr>
                <w:rFonts w:cs="Calibri"/>
              </w:rPr>
              <w:t>13.42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84851">
            <w:pPr>
              <w:jc w:val="center"/>
            </w:pPr>
            <w:r>
              <w:rPr>
                <w:rFonts w:cs="Calibri"/>
              </w:rPr>
              <w:t>8.89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0.15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B2F87">
            <w:pPr>
              <w:jc w:val="center"/>
            </w:pPr>
            <w:r>
              <w:rPr>
                <w:rFonts w:cs="Calibri"/>
              </w:rPr>
              <w:t>8.74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0.21</w:t>
            </w:r>
          </w:p>
        </w:tc>
      </w:tr>
      <w:tr w14:paraId="117C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AE5C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E195">
            <w:pPr>
              <w:jc w:val="center"/>
            </w:pPr>
            <w:r>
              <w:rPr>
                <w:rFonts w:hint="eastAsia" w:ascii="宋体" w:hAnsi="宋体"/>
              </w:rPr>
              <w:t>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C2A7">
            <w:pPr>
              <w:jc w:val="center"/>
            </w:pPr>
            <w:r>
              <w:rPr>
                <w:rFonts w:cs="Calibri"/>
              </w:rPr>
              <w:t>68.07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1.57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98358">
            <w:pPr>
              <w:jc w:val="center"/>
            </w:pPr>
            <w:r>
              <w:rPr>
                <w:rFonts w:cs="Calibri"/>
              </w:rPr>
              <w:t>31.65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0.31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986A">
            <w:pPr>
              <w:jc w:val="center"/>
            </w:pPr>
            <w:r>
              <w:rPr>
                <w:rFonts w:cs="Calibri"/>
              </w:rPr>
              <w:t>14.94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055C">
            <w:pPr>
              <w:jc w:val="center"/>
            </w:pPr>
            <w:r>
              <w:rPr>
                <w:rFonts w:cs="Calibri"/>
              </w:rPr>
              <w:t>9.65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4EA5">
            <w:pPr>
              <w:jc w:val="center"/>
            </w:pPr>
            <w:r>
              <w:rPr>
                <w:rFonts w:cs="Calibri"/>
              </w:rPr>
              <w:t>9.44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0.21</w:t>
            </w:r>
          </w:p>
        </w:tc>
      </w:tr>
      <w:tr w14:paraId="6783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A75D">
            <w:pPr>
              <w:jc w:val="center"/>
            </w:pPr>
            <w:r>
              <w:rPr>
                <w:rFonts w:hint="eastAsia" w:ascii="宋体" w:hAnsi="宋体"/>
              </w:rPr>
              <w:t>成虫期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D931E">
            <w:pPr>
              <w:jc w:val="center"/>
            </w:pPr>
            <w:r>
              <w:rPr>
                <w:rFonts w:hint="eastAsia" w:ascii="宋体" w:hAnsi="宋体"/>
              </w:rPr>
              <w:t>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1DB2A">
            <w:pPr>
              <w:jc w:val="center"/>
            </w:pPr>
            <w:r>
              <w:rPr>
                <w:rFonts w:cs="Calibri"/>
              </w:rPr>
              <w:t>22.7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2.3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19813">
            <w:pPr>
              <w:jc w:val="center"/>
            </w:pPr>
            <w:r>
              <w:rPr>
                <w:rFonts w:cs="Calibri"/>
              </w:rPr>
              <w:t>21.9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1.1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3E520">
            <w:pPr>
              <w:jc w:val="center"/>
            </w:pPr>
            <w:r>
              <w:rPr>
                <w:rFonts w:cs="Calibri"/>
              </w:rPr>
              <w:t>13.7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B665">
            <w:pPr>
              <w:jc w:val="center"/>
            </w:pPr>
            <w:r>
              <w:rPr>
                <w:rFonts w:cs="Calibri"/>
              </w:rPr>
              <w:t>13.1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71C42">
            <w:pPr>
              <w:jc w:val="center"/>
            </w:pPr>
            <w:r>
              <w:rPr>
                <w:rFonts w:cs="Calibri"/>
              </w:rPr>
              <w:t>7.0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0.5</w:t>
            </w:r>
          </w:p>
        </w:tc>
      </w:tr>
      <w:tr w14:paraId="7D9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4D24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E34EC">
            <w:pPr>
              <w:jc w:val="center"/>
            </w:pPr>
            <w:r>
              <w:rPr>
                <w:rFonts w:hint="eastAsia" w:ascii="宋体" w:hAnsi="宋体"/>
              </w:rPr>
              <w:t>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10938">
            <w:pPr>
              <w:jc w:val="center"/>
            </w:pPr>
            <w:r>
              <w:rPr>
                <w:rFonts w:cs="Calibri"/>
              </w:rPr>
              <w:t>23.6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1.8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B67C3">
            <w:pPr>
              <w:jc w:val="center"/>
            </w:pPr>
            <w:r>
              <w:rPr>
                <w:rFonts w:cs="Calibri"/>
              </w:rPr>
              <w:t>19.0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1.7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6315">
            <w:pPr>
              <w:jc w:val="center"/>
            </w:pPr>
            <w:r>
              <w:rPr>
                <w:rFonts w:cs="Calibri"/>
              </w:rPr>
              <w:t>14.6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DDBCC">
            <w:pPr>
              <w:jc w:val="center"/>
            </w:pPr>
            <w:r>
              <w:rPr>
                <w:rFonts w:cs="Calibri"/>
              </w:rPr>
              <w:t>13.3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5D94F">
            <w:pPr>
              <w:jc w:val="center"/>
            </w:pPr>
            <w:r>
              <w:rPr>
                <w:rFonts w:cs="Calibri"/>
              </w:rPr>
              <w:t>6.6</w:t>
            </w:r>
            <w:r>
              <w:rPr>
                <w:rFonts w:hint="eastAsia" w:ascii="宋体" w:hAnsi="宋体"/>
              </w:rPr>
              <w:t>±</w:t>
            </w:r>
            <w:r>
              <w:rPr>
                <w:rFonts w:cs="Calibri"/>
              </w:rPr>
              <w:t>0.6</w:t>
            </w:r>
          </w:p>
        </w:tc>
      </w:tr>
      <w:tr w14:paraId="536C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43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94F4F">
            <w:pPr>
              <w:jc w:val="center"/>
            </w:pPr>
            <w:r>
              <w:rPr>
                <w:rFonts w:hint="eastAsia" w:ascii="宋体" w:hAnsi="宋体"/>
              </w:rPr>
              <w:t>平均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43769">
            <w:pPr>
              <w:jc w:val="center"/>
            </w:pPr>
            <w:r>
              <w:rPr>
                <w:rFonts w:cs="Calibri"/>
              </w:rPr>
              <w:t>23.2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E62FB">
            <w:pPr>
              <w:jc w:val="center"/>
            </w:pPr>
            <w:r>
              <w:rPr>
                <w:rFonts w:cs="Calibri"/>
              </w:rPr>
              <w:t>20.5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7F49F">
            <w:pPr>
              <w:jc w:val="center"/>
            </w:pPr>
            <w:r>
              <w:rPr>
                <w:rFonts w:cs="Calibri"/>
              </w:rPr>
              <w:t>14.2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075DE">
            <w:pPr>
              <w:jc w:val="center"/>
            </w:pPr>
            <w:r>
              <w:rPr>
                <w:rFonts w:cs="Calibri"/>
              </w:rPr>
              <w:t>13.2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9419">
            <w:pPr>
              <w:jc w:val="center"/>
            </w:pPr>
            <w:r>
              <w:rPr>
                <w:rFonts w:cs="Calibri"/>
              </w:rPr>
              <w:t>6.8</w:t>
            </w:r>
          </w:p>
        </w:tc>
      </w:tr>
    </w:tbl>
    <w:p w14:paraId="003B2FCB">
      <w:pPr>
        <w:ind w:firstLine="411" w:firstLineChars="196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注：吴坤君</w:t>
      </w:r>
      <w:r>
        <w:t>,</w:t>
      </w:r>
      <w:r>
        <w:rPr>
          <w:rFonts w:hint="eastAsia" w:ascii="宋体" w:hAnsi="宋体"/>
        </w:rPr>
        <w:t>陈玉平</w:t>
      </w:r>
      <w:r>
        <w:t>,</w:t>
      </w:r>
      <w:r>
        <w:rPr>
          <w:rFonts w:hint="eastAsia" w:ascii="宋体" w:hAnsi="宋体"/>
        </w:rPr>
        <w:t>李明辉</w:t>
      </w:r>
      <w:r>
        <w:t xml:space="preserve">. </w:t>
      </w:r>
      <w:r>
        <w:rPr>
          <w:rFonts w:hint="eastAsia" w:ascii="宋体" w:hAnsi="宋体"/>
        </w:rPr>
        <w:t>温度对棉铃虫实验种群生长的影响</w:t>
      </w:r>
      <w:r>
        <w:t>.</w:t>
      </w:r>
      <w:r>
        <w:rPr>
          <w:rFonts w:hint="eastAsia" w:ascii="宋体" w:hAnsi="宋体"/>
        </w:rPr>
        <w:t>昆虫学报</w:t>
      </w:r>
      <w:r>
        <w:t>,1980,23(4):358-368.</w:t>
      </w:r>
    </w:p>
    <w:p w14:paraId="39022C08">
      <w:pPr>
        <w:pStyle w:val="65"/>
        <w:spacing w:before="156" w:after="156"/>
      </w:pPr>
      <w:r>
        <w:rPr>
          <w:rFonts w:hint="eastAsia"/>
        </w:rPr>
        <w:t>有效积温法</w:t>
      </w:r>
    </w:p>
    <w:p w14:paraId="64B050E6">
      <w:pPr>
        <w:pStyle w:val="56"/>
        <w:ind w:firstLine="420"/>
      </w:pPr>
      <w:r>
        <w:rPr>
          <w:rFonts w:hint="eastAsia"/>
        </w:rPr>
        <w:t>依据棉铃虫成虫、卵和幼虫的发育起点温度（t）、有效积温（K）（棉铃虫各虫态发育发育起点温度和有效积温见附录E），结合当地气象预报未来气温（T），利用以下有效积温公式，计算各虫态发生历期（d），做出发生期预测。</w:t>
      </w:r>
    </w:p>
    <w:p w14:paraId="31BDA937">
      <w:pPr>
        <w:pStyle w:val="56"/>
        <w:ind w:firstLine="420"/>
      </w:pPr>
      <w:r>
        <w:drawing>
          <wp:inline distT="0" distB="0" distL="0" distR="0">
            <wp:extent cx="742950" cy="40005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</w:t>
      </w:r>
      <w:r>
        <w:rPr>
          <w:rFonts w:hint="eastAsia"/>
        </w:rPr>
        <w:t>.(1)</w:t>
      </w:r>
    </w:p>
    <w:p w14:paraId="1C2F08FE">
      <w:pPr>
        <w:pStyle w:val="56"/>
        <w:ind w:firstLine="420"/>
      </w:pPr>
      <w:r>
        <w:rPr>
          <w:rFonts w:hint="eastAsia"/>
        </w:rPr>
        <w:t>式中：</w:t>
      </w:r>
      <w:r>
        <w:rPr>
          <w:rFonts w:hint="eastAsia"/>
        </w:rPr>
        <w:tab/>
      </w:r>
    </w:p>
    <w:p w14:paraId="5378AE72">
      <w:pPr>
        <w:pStyle w:val="56"/>
        <w:ind w:firstLine="420"/>
      </w:pPr>
      <w:r>
        <w:rPr>
          <w:rFonts w:hint="eastAsia"/>
        </w:rPr>
        <w:t>—卵和幼虫等虫态发生历期；</w:t>
      </w:r>
    </w:p>
    <w:p w14:paraId="57C931C4">
      <w:pPr>
        <w:pStyle w:val="56"/>
        <w:ind w:firstLine="420"/>
      </w:pPr>
      <w:r>
        <w:rPr>
          <w:rFonts w:hint="eastAsia"/>
        </w:rPr>
        <w:t>—有效积温，日度；</w:t>
      </w:r>
    </w:p>
    <w:p w14:paraId="5C870AB0">
      <w:pPr>
        <w:pStyle w:val="56"/>
        <w:ind w:firstLine="420"/>
      </w:pPr>
      <w:r>
        <w:rPr>
          <w:rFonts w:hint="eastAsia"/>
        </w:rPr>
        <w:t>—当地气象预报温度，℃；</w:t>
      </w:r>
    </w:p>
    <w:p w14:paraId="37D1FD3F">
      <w:pPr>
        <w:pStyle w:val="56"/>
        <w:ind w:firstLine="420"/>
      </w:pPr>
      <w:r>
        <w:rPr>
          <w:rFonts w:hint="eastAsia"/>
        </w:rPr>
        <w:t>—发育起点温度，℃；</w:t>
      </w:r>
    </w:p>
    <w:p w14:paraId="5745008F">
      <w:pPr>
        <w:pStyle w:val="105"/>
        <w:spacing w:before="156" w:after="156"/>
      </w:pPr>
      <w:r>
        <w:rPr>
          <w:rFonts w:hint="eastAsia"/>
        </w:rPr>
        <w:t>发生程度预测</w:t>
      </w:r>
    </w:p>
    <w:p w14:paraId="2EE8F368">
      <w:pPr>
        <w:pStyle w:val="65"/>
        <w:spacing w:before="156" w:after="156"/>
      </w:pPr>
      <w:r>
        <w:rPr>
          <w:rFonts w:hint="eastAsia"/>
        </w:rPr>
        <w:t>长期预测</w:t>
      </w:r>
    </w:p>
    <w:p w14:paraId="7D7117AA">
      <w:pPr>
        <w:pStyle w:val="56"/>
        <w:ind w:firstLine="420"/>
      </w:pPr>
      <w:r>
        <w:rPr>
          <w:rFonts w:hint="eastAsia"/>
        </w:rPr>
        <w:t>每年冬季，根据末代发生程度、越冬虫源地蛹量、寄主作物种植制度和作物布局以及气象部门长期气候预测，结合当地棉铃虫发生历史资料，综合分析做出翌年发生程度长期趋势预测。</w:t>
      </w:r>
    </w:p>
    <w:p w14:paraId="0B3D0283">
      <w:pPr>
        <w:pStyle w:val="65"/>
        <w:spacing w:before="156" w:after="156"/>
      </w:pPr>
      <w:r>
        <w:rPr>
          <w:rFonts w:hint="eastAsia"/>
        </w:rPr>
        <w:t>中期预测</w:t>
      </w:r>
    </w:p>
    <w:p w14:paraId="7923FEB9">
      <w:pPr>
        <w:pStyle w:val="56"/>
        <w:ind w:firstLine="420"/>
      </w:pPr>
      <w:r>
        <w:rPr>
          <w:rFonts w:hint="eastAsia"/>
        </w:rPr>
        <w:t>三代：根据各寄主作物田二代幼虫残虫量和成虫诱测数量，玉米长势和田间天敌情况，以及7月份气温和降水量，结合历史资料，于7月上旬前做出三代发生程度中期预测。</w:t>
      </w:r>
    </w:p>
    <w:p w14:paraId="09FE7147">
      <w:pPr>
        <w:pStyle w:val="65"/>
        <w:spacing w:before="156" w:after="156"/>
      </w:pPr>
      <w:r>
        <w:rPr>
          <w:rFonts w:hint="eastAsia"/>
        </w:rPr>
        <w:t>短期预测</w:t>
      </w:r>
    </w:p>
    <w:p w14:paraId="215E28DF">
      <w:pPr>
        <w:pStyle w:val="56"/>
        <w:ind w:firstLine="420"/>
      </w:pPr>
      <w:r>
        <w:rPr>
          <w:rFonts w:hint="eastAsia"/>
        </w:rPr>
        <w:t>根据上代成虫诱蛾量和当代卵量调查结果，结合田间天敌和未来一周天气情况，分别做出当代卵量和幼虫发生程度预报。</w:t>
      </w:r>
    </w:p>
    <w:p w14:paraId="3A2E8383">
      <w:pPr>
        <w:pStyle w:val="56"/>
        <w:ind w:firstLine="420"/>
      </w:pPr>
    </w:p>
    <w:p w14:paraId="4874722B">
      <w:pPr>
        <w:pStyle w:val="56"/>
        <w:ind w:firstLine="420"/>
      </w:pPr>
    </w:p>
    <w:p w14:paraId="3E95B222">
      <w:pPr>
        <w:pStyle w:val="56"/>
        <w:ind w:firstLine="420"/>
      </w:pPr>
    </w:p>
    <w:p w14:paraId="095FA0CA">
      <w:pPr>
        <w:pStyle w:val="56"/>
        <w:ind w:firstLine="420"/>
      </w:pPr>
    </w:p>
    <w:p w14:paraId="4E5A5F7F">
      <w:pPr>
        <w:pStyle w:val="56"/>
        <w:ind w:firstLine="420"/>
      </w:pPr>
    </w:p>
    <w:p w14:paraId="11A015F7">
      <w:pPr>
        <w:pStyle w:val="56"/>
        <w:ind w:firstLine="420"/>
      </w:pPr>
    </w:p>
    <w:p w14:paraId="2FA72F1A">
      <w:pPr>
        <w:pStyle w:val="56"/>
        <w:ind w:firstLine="420"/>
      </w:pPr>
    </w:p>
    <w:p w14:paraId="0C548B45">
      <w:pPr>
        <w:pStyle w:val="56"/>
        <w:ind w:firstLine="420"/>
        <w:sectPr>
          <w:pgSz w:w="11906" w:h="16838"/>
          <w:pgMar w:top="1928" w:right="1134" w:bottom="1134" w:left="1134" w:header="1418" w:footer="1134" w:gutter="284"/>
          <w:pgNumType w:start="1"/>
          <w:cols w:space="425" w:num="1"/>
          <w:formProt w:val="0"/>
          <w:docGrid w:type="lines" w:linePitch="312" w:charSpace="0"/>
        </w:sectPr>
      </w:pPr>
    </w:p>
    <w:bookmarkEnd w:id="22"/>
    <w:p w14:paraId="654E92D9">
      <w:pPr>
        <w:pStyle w:val="198"/>
        <w:rPr>
          <w:rFonts w:hint="eastAsia"/>
          <w:vanish w:val="0"/>
        </w:rPr>
      </w:pPr>
      <w:bookmarkStart w:id="40" w:name="BookMark5"/>
    </w:p>
    <w:p w14:paraId="5FEAA01E">
      <w:pPr>
        <w:pStyle w:val="199"/>
        <w:rPr>
          <w:vanish w:val="0"/>
        </w:rPr>
      </w:pPr>
    </w:p>
    <w:p w14:paraId="1A0F09FD">
      <w:pPr>
        <w:pStyle w:val="76"/>
        <w:spacing w:after="156"/>
      </w:pPr>
      <w:r>
        <w:br w:type="textWrapping"/>
      </w:r>
      <w:r>
        <w:rPr>
          <w:rFonts w:hint="eastAsia"/>
        </w:rPr>
        <w:t>（规范性）</w:t>
      </w:r>
      <w:r>
        <w:br w:type="textWrapping"/>
      </w:r>
      <w:r>
        <w:rPr>
          <w:rFonts w:hint="eastAsia"/>
        </w:rPr>
        <w:t>棉铃虫调查资料表册</w:t>
      </w:r>
    </w:p>
    <w:p w14:paraId="3F2A55A7">
      <w:pPr>
        <w:pStyle w:val="77"/>
        <w:spacing w:before="156" w:after="156"/>
      </w:pPr>
      <w:r>
        <w:rPr>
          <w:rFonts w:hint="eastAsia"/>
        </w:rPr>
        <w:t>棉铃虫成虫调查表</w:t>
      </w:r>
    </w:p>
    <w:tbl>
      <w:tblPr>
        <w:tblStyle w:val="26"/>
        <w:tblW w:w="900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868"/>
        <w:gridCol w:w="384"/>
        <w:gridCol w:w="391"/>
        <w:gridCol w:w="362"/>
        <w:gridCol w:w="362"/>
        <w:gridCol w:w="393"/>
        <w:gridCol w:w="862"/>
        <w:gridCol w:w="1030"/>
        <w:gridCol w:w="519"/>
        <w:gridCol w:w="460"/>
        <w:gridCol w:w="411"/>
        <w:gridCol w:w="853"/>
        <w:gridCol w:w="909"/>
      </w:tblGrid>
      <w:tr w14:paraId="29E0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D473C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调查日期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2C2DA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调查地点</w:t>
            </w:r>
          </w:p>
        </w:tc>
        <w:tc>
          <w:tcPr>
            <w:tcW w:w="46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1A215B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虫情测报灯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E52B6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性诱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7E1DC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备注</w:t>
            </w:r>
          </w:p>
        </w:tc>
      </w:tr>
      <w:tr w14:paraId="62370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B7332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F1F3A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DDAA5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雌（头）</w:t>
            </w:r>
          </w:p>
        </w:tc>
        <w:tc>
          <w:tcPr>
            <w:tcW w:w="18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9DF55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抱卵级别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98F3B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雄（头）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88B9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合计（头）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12DA6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诱捕器</w:t>
            </w:r>
            <w:r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11FCF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诱捕器</w:t>
            </w:r>
            <w:r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E0E42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诱捕器</w:t>
            </w:r>
            <w:r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E5CD72">
            <w:pPr>
              <w:widowControl/>
              <w:adjustRightInd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合计（头）</w:t>
            </w: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077597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 w14:paraId="6907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20572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67D0F7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46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85298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157A46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  <w:tc>
          <w:tcPr>
            <w:tcW w:w="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0075DF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B6A675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  <w:tc>
          <w:tcPr>
            <w:tcW w:w="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1CBB0D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40A324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</w:t>
            </w: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F3F25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E64894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B4350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21D1E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B3E58F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A7ABC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C36BB1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 w14:paraId="3D9C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8CD1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1136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EB95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A77F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FBFA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8235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03AB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9DD8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68CB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215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E306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28C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6510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D992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B02C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8DB4D8B">
      <w:pPr>
        <w:pStyle w:val="56"/>
        <w:ind w:firstLine="420"/>
      </w:pPr>
    </w:p>
    <w:p w14:paraId="373FB0A0">
      <w:pPr>
        <w:pStyle w:val="77"/>
        <w:spacing w:before="156" w:after="156"/>
      </w:pPr>
      <w:r>
        <w:rPr>
          <w:rFonts w:hint="eastAsia"/>
        </w:rPr>
        <w:t>棉铃虫卵量调查表</w:t>
      </w:r>
    </w:p>
    <w:p w14:paraId="4E18824C">
      <w:pPr>
        <w:pStyle w:val="56"/>
        <w:ind w:firstLine="420"/>
      </w:pPr>
    </w:p>
    <w:tbl>
      <w:tblPr>
        <w:tblStyle w:val="2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95"/>
        <w:gridCol w:w="695"/>
        <w:gridCol w:w="773"/>
        <w:gridCol w:w="694"/>
        <w:gridCol w:w="983"/>
        <w:gridCol w:w="846"/>
        <w:gridCol w:w="958"/>
        <w:gridCol w:w="982"/>
        <w:gridCol w:w="1078"/>
        <w:gridCol w:w="736"/>
      </w:tblGrid>
      <w:tr w14:paraId="4F5F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0C9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调查日期</w:t>
            </w:r>
          </w:p>
          <w:p w14:paraId="3A7BAB95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724C1B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调查</w:t>
            </w:r>
          </w:p>
          <w:p w14:paraId="7CDE7249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地点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D3497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调查类型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B71AB3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玉米</w:t>
            </w:r>
          </w:p>
          <w:p w14:paraId="1B881A39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生育期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62C456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1309F6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调查株数（株）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1D95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调查卵量（粒）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CAB10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累计卵量（粒）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2B5C55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折平均百株卵量（粒）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81E25A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折平均百株累计卵量（粒）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55662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0E1C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B1A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27FF6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7D1BA7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AD9B0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9E373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9F434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DA4EF3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1394E0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30BA0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21C015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D2BFFD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ED18D4A">
      <w:pPr>
        <w:pStyle w:val="56"/>
        <w:ind w:firstLine="420"/>
      </w:pPr>
    </w:p>
    <w:p w14:paraId="6D512533">
      <w:pPr>
        <w:pStyle w:val="77"/>
        <w:spacing w:before="156" w:after="156"/>
      </w:pPr>
      <w:r>
        <w:rPr>
          <w:rFonts w:hint="eastAsia"/>
        </w:rPr>
        <w:t>棉铃虫幼虫系统记载表</w:t>
      </w:r>
    </w:p>
    <w:tbl>
      <w:tblPr>
        <w:tblStyle w:val="26"/>
        <w:tblW w:w="9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773"/>
        <w:gridCol w:w="1409"/>
        <w:gridCol w:w="1184"/>
        <w:gridCol w:w="1850"/>
        <w:gridCol w:w="773"/>
        <w:gridCol w:w="773"/>
        <w:gridCol w:w="773"/>
        <w:gridCol w:w="773"/>
      </w:tblGrid>
      <w:tr w14:paraId="627C5F20">
        <w:trPr>
          <w:trHeight w:val="26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A9341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调查日期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EFDED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调查地点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447064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作物种类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986C19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取样面积或株数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9E4D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总虫数（头）</w:t>
            </w: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0B1B0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平均每m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或百株虫数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D6BE0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1-3龄（头）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0606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4-6龄（头）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EE25F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发生面积（万亩）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F54F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CDA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A3A1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2B083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A619E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F9D92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EC92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C514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D6685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D5B6C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9103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CF9027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FB6B949">
      <w:pPr>
        <w:pStyle w:val="56"/>
        <w:ind w:firstLine="420"/>
      </w:pPr>
    </w:p>
    <w:p w14:paraId="015EE497">
      <w:pPr>
        <w:pStyle w:val="77"/>
        <w:spacing w:before="156" w:after="156"/>
      </w:pPr>
      <w:r>
        <w:rPr>
          <w:rFonts w:hint="eastAsia"/>
        </w:rPr>
        <w:t>棉铃虫幼虫普查记载表</w:t>
      </w:r>
    </w:p>
    <w:tbl>
      <w:tblPr>
        <w:tblStyle w:val="26"/>
        <w:tblW w:w="98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773"/>
        <w:gridCol w:w="1409"/>
        <w:gridCol w:w="1184"/>
        <w:gridCol w:w="1850"/>
        <w:gridCol w:w="773"/>
        <w:gridCol w:w="773"/>
        <w:gridCol w:w="773"/>
        <w:gridCol w:w="773"/>
      </w:tblGrid>
      <w:tr w14:paraId="2445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F839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调查日期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A7B7F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调查地点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09A57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作物种类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DE854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取样面积或株数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A780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总虫数（头）</w:t>
            </w: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C489D4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平均每m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或百株虫数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869EC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1-3龄（头）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46FC1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4-6龄（头）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B0240B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发生面积（万亩）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3872C">
            <w:pPr>
              <w:widowControl/>
              <w:adjustRightInd/>
              <w:spacing w:line="240" w:lineRule="auto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8C8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B661">
            <w:pPr>
              <w:adjustRightInd/>
              <w:spacing w:line="240" w:lineRule="auto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9F5C84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ACED0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ECEEF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7E0A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612FF5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799A2D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C97D3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94DA6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4A489">
            <w:pPr>
              <w:adjustRightInd/>
              <w:spacing w:line="240" w:lineRule="auto"/>
              <w:rPr>
                <w:sz w:val="20"/>
                <w:szCs w:val="20"/>
              </w:rPr>
            </w:pPr>
          </w:p>
        </w:tc>
      </w:tr>
      <w:bookmarkEnd w:id="40"/>
    </w:tbl>
    <w:p w14:paraId="4595183E">
      <w:pPr>
        <w:pStyle w:val="56"/>
        <w:ind w:firstLine="0" w:firstLineChars="0"/>
        <w:jc w:val="center"/>
      </w:pPr>
      <w:bookmarkStart w:id="41" w:name="BookMark8"/>
      <w:r>
        <w:drawing>
          <wp:inline distT="0" distB="0" distL="0" distR="0">
            <wp:extent cx="1485900" cy="317500"/>
            <wp:effectExtent l="0" t="0" r="0" b="6350"/>
            <wp:docPr id="53275638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56387" name="图片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</w:p>
    <w:sectPr>
      <w:pgSz w:w="11906" w:h="16838"/>
      <w:pgMar w:top="1928" w:right="1134" w:bottom="1134" w:left="1134" w:header="1418" w:footer="1134" w:gutter="284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3695C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86125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49ACA">
    <w:pPr>
      <w:pStyle w:val="17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768DA"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F2676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4D23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5863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1B60C">
    <w:pPr>
      <w:pStyle w:val="61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XX/T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B5ED">
    <w:pPr>
      <w:pStyle w:val="18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 xml:space="preserve">标准文件</w:instrText>
    </w:r>
    <w:r>
      <w:rPr>
        <w:lang w:val="fr-FR"/>
      </w:rPr>
      <w:instrText xml:space="preserve">_</w:instrText>
    </w:r>
    <w:r>
      <w:instrText xml:space="preserve"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59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18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3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5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58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0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3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7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4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gaXLKfkAcrWJKcL4T7BvFi+ofRTf9V1v/EsNuIrpqeTAwH9Qgu6btS2fqyfUdrDtce4RKIyEynMVs1A1xdKETQ==" w:salt="e/32dF9xFI6KESsT2kfCO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YTJjMTFjNzA3OWFlMzAwMWZjZWMxNmMwZDQ0YWMifQ=="/>
  </w:docVars>
  <w:rsids>
    <w:rsidRoot w:val="00704536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3E89"/>
    <w:rsid w:val="000346A5"/>
    <w:rsid w:val="000346AA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2F41"/>
    <w:rsid w:val="00293B30"/>
    <w:rsid w:val="00294152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548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2190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057D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4536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95FD7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5CB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150E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CAB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6D49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F975476"/>
    <w:rsid w:val="57A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6"/>
    <w:qFormat/>
    <w:uiPriority w:val="0"/>
    <w:pPr>
      <w:spacing w:after="120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autoRedefine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  <w:rPr>
      <w:rFonts w:ascii="宋体" w:hAnsi="Times New Roman" w:eastAsia="宋体"/>
      <w:sz w:val="18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6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7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38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9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0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1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2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3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4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5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6">
    <w:name w:val="Quote"/>
    <w:basedOn w:val="1"/>
    <w:next w:val="1"/>
    <w:link w:val="47"/>
    <w:qFormat/>
    <w:uiPriority w:val="29"/>
    <w:rPr>
      <w:i/>
      <w:iCs/>
      <w:color w:val="000000"/>
    </w:rPr>
  </w:style>
  <w:style w:type="character" w:customStyle="1" w:styleId="47">
    <w:name w:val="引用 字符"/>
    <w:link w:val="46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48">
    <w:name w:val="标题 字符"/>
    <w:link w:val="25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4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版本"/>
    <w:basedOn w:val="55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0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8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7">
    <w:name w:val="标准文件_附录章标题"/>
    <w:next w:val="56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0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0"/>
    <w:pPr>
      <w:spacing w:line="460" w:lineRule="exact"/>
      <w:ind w:left="0" w:firstLine="0"/>
    </w:pPr>
  </w:style>
  <w:style w:type="paragraph" w:customStyle="1" w:styleId="91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0"/>
    <w:pPr>
      <w:numPr>
        <w:numId w:val="10"/>
      </w:numPr>
    </w:pPr>
  </w:style>
  <w:style w:type="paragraph" w:customStyle="1" w:styleId="94">
    <w:name w:val="标准文件_三级条标题"/>
    <w:basedOn w:val="65"/>
    <w:next w:val="56"/>
    <w:qFormat/>
    <w:uiPriority w:val="0"/>
    <w:pPr>
      <w:widowControl/>
      <w:numPr>
        <w:ilvl w:val="4"/>
      </w:numPr>
      <w:outlineLvl w:val="3"/>
    </w:pPr>
  </w:style>
  <w:style w:type="character" w:customStyle="1" w:styleId="95">
    <w:name w:val="不明显参考1"/>
    <w:qFormat/>
    <w:uiPriority w:val="31"/>
    <w:rPr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0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6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0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0"/>
    <w:pPr>
      <w:outlineLvl w:val="5"/>
    </w:pPr>
  </w:style>
  <w:style w:type="paragraph" w:customStyle="1" w:styleId="131">
    <w:name w:val="附录图"/>
    <w:next w:val="56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0"/>
    <w:pPr>
      <w:outlineLvl w:val="6"/>
    </w:pPr>
  </w:style>
  <w:style w:type="paragraph" w:customStyle="1" w:styleId="134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7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38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0"/>
    <w:pPr>
      <w:tabs>
        <w:tab w:val="left" w:pos="840"/>
      </w:tabs>
    </w:pPr>
  </w:style>
  <w:style w:type="paragraph" w:customStyle="1" w:styleId="14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autoRedefine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autoRedefine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autoRedefine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71"/>
    <w:basedOn w:val="146"/>
    <w:autoRedefine/>
    <w:semiHidden/>
    <w:qFormat/>
    <w:uiPriority w:val="0"/>
    <w:pPr>
      <w:ind w:left="1260"/>
    </w:pPr>
  </w:style>
  <w:style w:type="paragraph" w:customStyle="1" w:styleId="148">
    <w:name w:val="目录 81"/>
    <w:basedOn w:val="147"/>
    <w:autoRedefine/>
    <w:semiHidden/>
    <w:qFormat/>
    <w:uiPriority w:val="0"/>
    <w:pPr>
      <w:ind w:left="1470"/>
    </w:pPr>
  </w:style>
  <w:style w:type="paragraph" w:customStyle="1" w:styleId="149">
    <w:name w:val="目录 91"/>
    <w:basedOn w:val="148"/>
    <w:autoRedefine/>
    <w:semiHidden/>
    <w:qFormat/>
    <w:uiPriority w:val="0"/>
    <w:pPr>
      <w:ind w:left="1680"/>
    </w:pPr>
  </w:style>
  <w:style w:type="paragraph" w:customStyle="1" w:styleId="15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0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0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0"/>
    <w:rPr>
      <w:rFonts w:eastAsia="宋体"/>
    </w:rPr>
  </w:style>
  <w:style w:type="paragraph" w:customStyle="1" w:styleId="167">
    <w:name w:val="标准文件_四级无标题"/>
    <w:basedOn w:val="98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0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0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uiPriority w:val="0"/>
    <w:rPr>
      <w:rFonts w:ascii="宋体" w:hAnsi="Times New Roman"/>
      <w:sz w:val="21"/>
    </w:rPr>
  </w:style>
  <w:style w:type="paragraph" w:customStyle="1" w:styleId="185">
    <w:name w:val="标准文件_表格续"/>
    <w:basedOn w:val="56"/>
    <w:next w:val="56"/>
    <w:qFormat/>
    <w:uiPriority w:val="0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color w:val="808080"/>
    </w:rPr>
  </w:style>
  <w:style w:type="paragraph" w:customStyle="1" w:styleId="187">
    <w:name w:val="标准文件_二级项2"/>
    <w:basedOn w:val="56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88">
    <w:name w:val="标准文件_三级项2"/>
    <w:basedOn w:val="56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0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1"/>
    <w:rPr>
      <w:rFonts w:eastAsia="宋体"/>
      <w:sz w:val="21"/>
    </w:rPr>
  </w:style>
  <w:style w:type="paragraph" w:customStyle="1" w:styleId="192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0"/>
    <w:pPr>
      <w:framePr/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0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0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0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uiPriority w:val="0"/>
    <w:rPr>
      <w:rFonts w:ascii="宋体" w:hAnsi="Times New Roman"/>
      <w:sz w:val="18"/>
    </w:rPr>
  </w:style>
  <w:style w:type="paragraph" w:customStyle="1" w:styleId="210">
    <w:name w:val="标准文件_索引项"/>
    <w:basedOn w:val="56"/>
    <w:next w:val="56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0"/>
    <w:rPr>
      <w:rFonts w:hAnsi="黑体"/>
    </w:rPr>
  </w:style>
  <w:style w:type="paragraph" w:customStyle="1" w:styleId="222">
    <w:name w:val="标准文件_脚注内容"/>
    <w:basedOn w:val="56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0"/>
  </w:style>
  <w:style w:type="paragraph" w:customStyle="1" w:styleId="224">
    <w:name w:val="标准文件_术语条二"/>
    <w:basedOn w:val="165"/>
    <w:next w:val="56"/>
    <w:qFormat/>
    <w:uiPriority w:val="0"/>
  </w:style>
  <w:style w:type="paragraph" w:customStyle="1" w:styleId="225">
    <w:name w:val="标准文件_术语条三"/>
    <w:basedOn w:val="164"/>
    <w:next w:val="56"/>
    <w:qFormat/>
    <w:uiPriority w:val="0"/>
  </w:style>
  <w:style w:type="paragraph" w:customStyle="1" w:styleId="226">
    <w:name w:val="标准文件_术语条四"/>
    <w:basedOn w:val="167"/>
    <w:next w:val="56"/>
    <w:qFormat/>
    <w:uiPriority w:val="0"/>
  </w:style>
  <w:style w:type="paragraph" w:customStyle="1" w:styleId="227">
    <w:name w:val="标准文件_术语条五"/>
    <w:basedOn w:val="163"/>
    <w:next w:val="56"/>
    <w:qFormat/>
    <w:uiPriority w:val="0"/>
  </w:style>
  <w:style w:type="paragraph" w:customStyle="1" w:styleId="2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glossaryDocument" Target="glossary/document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tiff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5BFEA4BBDC8477081AD11502BA51C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40376F-E93D-446D-BAF9-0072C3FCE1EF}"/>
      </w:docPartPr>
      <w:docPartBody>
        <w:p w14:paraId="42DA5BAD">
          <w:pPr>
            <w:pStyle w:val="5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F9A91684A9624587B16BC73BE3CB72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3F9CF5-5AED-4462-83FE-933010A4C19E}"/>
      </w:docPartPr>
      <w:docPartBody>
        <w:p w14:paraId="59E9CF18">
          <w:pPr>
            <w:pStyle w:val="6"/>
            <w:rPr>
              <w:rFonts w:hint="eastAsia"/>
            </w:rPr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D3"/>
    <w:rsid w:val="00642190"/>
    <w:rsid w:val="006A659C"/>
    <w:rsid w:val="008D382A"/>
    <w:rsid w:val="00994171"/>
    <w:rsid w:val="00C405D3"/>
    <w:rsid w:val="00D9150E"/>
    <w:rsid w:val="00F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5BFEA4BBDC8477081AD11502BA51C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F9A91684A9624587B16BC73BE3CB72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03465-9310-430F-A8A0-DFC80D2CA8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6</Pages>
  <Words>2697</Words>
  <Characters>3150</Characters>
  <Lines>27</Lines>
  <Paragraphs>7</Paragraphs>
  <TotalTime>2</TotalTime>
  <ScaleCrop>false</ScaleCrop>
  <LinksUpToDate>false</LinksUpToDate>
  <CharactersWithSpaces>3182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2024-09-17T16:05:00Z</dcterms:created>
  <dc:creator>huawei</dc:creator>
  <dc:description>&lt;config cover="true" show_menu="true" version="1.0.0" doctype="SDKXY"&gt;_x000d_
&lt;/config&gt;</dc:description>
  <cp:lastModifiedBy>张丹</cp:lastModifiedBy>
  <cp:lastPrinted>2020-08-30T10:00:00Z</cp:lastPrinted>
  <dcterms:modified xsi:type="dcterms:W3CDTF">2024-09-19T06:49:13Z</dcterms:modified>
  <dc:title>地方标准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2052-12.1.0.18276</vt:lpwstr>
  </property>
  <property fmtid="{D5CDD505-2E9C-101B-9397-08002B2CF9AE}" pid="15" name="ICV">
    <vt:lpwstr>D2081C0D3C1C417EA35778C14A60C7E2_12</vt:lpwstr>
  </property>
</Properties>
</file>